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296"/>
        <w:gridCol w:w="3748"/>
        <w:gridCol w:w="1026"/>
        <w:gridCol w:w="990"/>
        <w:gridCol w:w="5721"/>
      </w:tblGrid>
      <w:tr w:rsidR="00B460E9" w:rsidRPr="00B460E9" w14:paraId="2311EFC7" w14:textId="77777777" w:rsidTr="00B460E9">
        <w:trPr>
          <w:trHeight w:val="2001"/>
        </w:trPr>
        <w:tc>
          <w:tcPr>
            <w:tcW w:w="15778" w:type="dxa"/>
            <w:gridSpan w:val="6"/>
            <w:tcBorders>
              <w:bottom w:val="single" w:sz="4" w:space="0" w:color="auto"/>
            </w:tcBorders>
          </w:tcPr>
          <w:p w14:paraId="6C43052E" w14:textId="122D2EC9" w:rsidR="00B460E9" w:rsidRPr="00B460E9" w:rsidRDefault="00C40D96" w:rsidP="00B0288D">
            <w:pPr>
              <w:spacing w:after="0" w:line="240" w:lineRule="auto"/>
              <w:jc w:val="center"/>
              <w:rPr>
                <w:i/>
                <w:sz w:val="44"/>
                <w:szCs w:val="44"/>
              </w:rPr>
            </w:pPr>
            <w:r w:rsidRPr="00B460E9">
              <w:rPr>
                <w:i/>
                <w:noProof/>
                <w:sz w:val="44"/>
                <w:szCs w:val="44"/>
              </w:rPr>
              <w:drawing>
                <wp:anchor distT="0" distB="0" distL="114300" distR="114300" simplePos="0" relativeHeight="251657728" behindDoc="0" locked="0" layoutInCell="1" allowOverlap="1" wp14:anchorId="70DEA9D6" wp14:editId="05A0E67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107950</wp:posOffset>
                  </wp:positionV>
                  <wp:extent cx="1095375" cy="1028700"/>
                  <wp:effectExtent l="0" t="0" r="9525" b="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0E9" w:rsidRPr="00B460E9">
              <w:rPr>
                <w:i/>
                <w:sz w:val="44"/>
                <w:szCs w:val="44"/>
              </w:rPr>
              <w:t>Catholic Education Week 20</w:t>
            </w:r>
            <w:r w:rsidR="002C7CE6">
              <w:rPr>
                <w:i/>
                <w:sz w:val="44"/>
                <w:szCs w:val="44"/>
              </w:rPr>
              <w:t>2</w:t>
            </w:r>
            <w:r w:rsidR="00B04F4F">
              <w:rPr>
                <w:i/>
                <w:sz w:val="44"/>
                <w:szCs w:val="44"/>
              </w:rPr>
              <w:t>3_</w:t>
            </w:r>
            <w:r>
              <w:rPr>
                <w:i/>
                <w:sz w:val="44"/>
                <w:szCs w:val="44"/>
              </w:rPr>
              <w:t>2</w:t>
            </w:r>
            <w:r w:rsidR="00B04F4F">
              <w:rPr>
                <w:i/>
                <w:sz w:val="44"/>
                <w:szCs w:val="44"/>
              </w:rPr>
              <w:t>4</w:t>
            </w:r>
          </w:p>
          <w:p w14:paraId="622AB8E9" w14:textId="5184D487" w:rsidR="00B460E9" w:rsidRPr="00B460E9" w:rsidRDefault="00B460E9" w:rsidP="00B142D8">
            <w:pPr>
              <w:spacing w:after="0" w:line="240" w:lineRule="auto"/>
              <w:jc w:val="center"/>
              <w:rPr>
                <w:i/>
              </w:rPr>
            </w:pPr>
            <w:r w:rsidRPr="00B460E9">
              <w:rPr>
                <w:i/>
                <w:sz w:val="52"/>
                <w:szCs w:val="52"/>
              </w:rPr>
              <w:t>“</w:t>
            </w:r>
            <w:r w:rsidR="00B04F4F">
              <w:rPr>
                <w:i/>
                <w:sz w:val="52"/>
                <w:szCs w:val="52"/>
              </w:rPr>
              <w:t>Pilgrims of faith</w:t>
            </w:r>
            <w:r w:rsidRPr="00B460E9">
              <w:rPr>
                <w:i/>
                <w:sz w:val="52"/>
                <w:szCs w:val="52"/>
              </w:rPr>
              <w:t>”</w:t>
            </w:r>
          </w:p>
          <w:p w14:paraId="1C049E96" w14:textId="77777777" w:rsidR="00B460E9" w:rsidRPr="00B460E9" w:rsidRDefault="00B460E9" w:rsidP="00B142D8">
            <w:pPr>
              <w:spacing w:after="0" w:line="240" w:lineRule="auto"/>
              <w:jc w:val="center"/>
              <w:rPr>
                <w:i/>
              </w:rPr>
            </w:pPr>
          </w:p>
          <w:p w14:paraId="78448F18" w14:textId="0B2F9255" w:rsidR="00B460E9" w:rsidRPr="008270EA" w:rsidRDefault="00B460E9" w:rsidP="00B142D8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B460E9">
              <w:rPr>
                <w:b/>
                <w:i/>
                <w:sz w:val="32"/>
                <w:szCs w:val="32"/>
              </w:rPr>
              <w:t>School Materials</w:t>
            </w:r>
            <w:r w:rsidR="005C5D5A">
              <w:rPr>
                <w:b/>
                <w:i/>
                <w:sz w:val="32"/>
                <w:szCs w:val="32"/>
              </w:rPr>
              <w:t xml:space="preserve"> –</w:t>
            </w:r>
            <w:r w:rsidR="0084421C">
              <w:rPr>
                <w:b/>
                <w:i/>
                <w:sz w:val="32"/>
                <w:szCs w:val="32"/>
              </w:rPr>
              <w:t>Third</w:t>
            </w:r>
            <w:r w:rsidR="008270EA">
              <w:rPr>
                <w:b/>
                <w:i/>
                <w:sz w:val="32"/>
                <w:szCs w:val="32"/>
              </w:rPr>
              <w:t xml:space="preserve"> Level</w:t>
            </w:r>
          </w:p>
          <w:p w14:paraId="79328B2B" w14:textId="74E4EBA2" w:rsidR="00B460E9" w:rsidRPr="00B460E9" w:rsidRDefault="00B0288D" w:rsidP="000D512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      </w:t>
            </w:r>
          </w:p>
        </w:tc>
      </w:tr>
      <w:tr w:rsidR="00B460E9" w:rsidRPr="00B460E9" w14:paraId="2BAECEC7" w14:textId="77777777" w:rsidTr="00B460E9">
        <w:trPr>
          <w:trHeight w:val="972"/>
        </w:trPr>
        <w:tc>
          <w:tcPr>
            <w:tcW w:w="15778" w:type="dxa"/>
            <w:gridSpan w:val="6"/>
            <w:tcBorders>
              <w:bottom w:val="single" w:sz="4" w:space="0" w:color="auto"/>
            </w:tcBorders>
          </w:tcPr>
          <w:p w14:paraId="624C7EF1" w14:textId="78A88D5F" w:rsidR="00B460E9" w:rsidRPr="00B460E9" w:rsidRDefault="00B460E9" w:rsidP="009658B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F50660">
              <w:rPr>
                <w:b/>
                <w:bCs/>
                <w:i/>
                <w:sz w:val="28"/>
                <w:szCs w:val="28"/>
              </w:rPr>
              <w:t>NOTE:</w:t>
            </w:r>
            <w:r w:rsidRPr="00B460E9">
              <w:rPr>
                <w:i/>
                <w:sz w:val="28"/>
                <w:szCs w:val="28"/>
              </w:rPr>
              <w:t xml:space="preserve"> While these ideas and resources have been compiled for Catholic Education Week 20</w:t>
            </w:r>
            <w:r w:rsidR="00E86F76">
              <w:rPr>
                <w:i/>
                <w:sz w:val="28"/>
                <w:szCs w:val="28"/>
              </w:rPr>
              <w:t>2</w:t>
            </w:r>
            <w:r w:rsidR="0095489B">
              <w:rPr>
                <w:i/>
                <w:sz w:val="28"/>
                <w:szCs w:val="28"/>
              </w:rPr>
              <w:t>3</w:t>
            </w:r>
            <w:r w:rsidRPr="00B460E9">
              <w:rPr>
                <w:i/>
                <w:sz w:val="28"/>
                <w:szCs w:val="28"/>
              </w:rPr>
              <w:t>, many of them could be used throughout the school year.</w:t>
            </w:r>
            <w:r w:rsidR="00B04F4F">
              <w:rPr>
                <w:i/>
                <w:sz w:val="28"/>
                <w:szCs w:val="28"/>
              </w:rPr>
              <w:t xml:space="preserve"> A</w:t>
            </w:r>
            <w:r w:rsidRPr="00B460E9">
              <w:rPr>
                <w:i/>
                <w:sz w:val="28"/>
                <w:szCs w:val="28"/>
              </w:rPr>
              <w:t>ctivities can be adapted to meet the context of your school</w:t>
            </w:r>
            <w:r w:rsidR="00B04F4F">
              <w:rPr>
                <w:i/>
                <w:sz w:val="28"/>
                <w:szCs w:val="28"/>
              </w:rPr>
              <w:t>.</w:t>
            </w:r>
          </w:p>
        </w:tc>
      </w:tr>
      <w:tr w:rsidR="00B460E9" w:rsidRPr="00B460E9" w14:paraId="3992BA08" w14:textId="77777777" w:rsidTr="002536B5">
        <w:trPr>
          <w:trHeight w:val="1058"/>
        </w:trPr>
        <w:tc>
          <w:tcPr>
            <w:tcW w:w="15778" w:type="dxa"/>
            <w:gridSpan w:val="6"/>
            <w:tcBorders>
              <w:bottom w:val="single" w:sz="4" w:space="0" w:color="auto"/>
            </w:tcBorders>
            <w:shd w:val="clear" w:color="auto" w:fill="09BFFF"/>
          </w:tcPr>
          <w:p w14:paraId="52E294F2" w14:textId="072D8AEB" w:rsidR="00963D73" w:rsidRPr="00963D73" w:rsidRDefault="00963D73" w:rsidP="009B2BBD">
            <w:pPr>
              <w:spacing w:after="0" w:line="240" w:lineRule="auto"/>
              <w:jc w:val="center"/>
              <w:rPr>
                <w:i/>
                <w:color w:val="FFFFFF" w:themeColor="background1"/>
                <w:sz w:val="36"/>
                <w:szCs w:val="36"/>
              </w:rPr>
            </w:pPr>
            <w:r w:rsidRPr="00963D73">
              <w:rPr>
                <w:i/>
                <w:color w:val="FFFFFF" w:themeColor="background1"/>
                <w:sz w:val="36"/>
                <w:szCs w:val="36"/>
              </w:rPr>
              <w:t>Characteristic from the Charter for Catholic Schools in Scotland</w:t>
            </w:r>
          </w:p>
          <w:p w14:paraId="58B88352" w14:textId="4B81066E" w:rsidR="00B460E9" w:rsidRPr="00B460E9" w:rsidRDefault="00C40D96" w:rsidP="009B2BBD">
            <w:pPr>
              <w:spacing w:after="0" w:line="240" w:lineRule="auto"/>
              <w:jc w:val="center"/>
              <w:rPr>
                <w:i/>
                <w:sz w:val="36"/>
                <w:szCs w:val="36"/>
              </w:rPr>
            </w:pPr>
            <w:bookmarkStart w:id="0" w:name="_Hlk48308807"/>
            <w:r w:rsidRPr="00C40D96">
              <w:rPr>
                <w:i/>
                <w:sz w:val="36"/>
                <w:szCs w:val="36"/>
              </w:rPr>
              <w:t xml:space="preserve">Our school provides: </w:t>
            </w:r>
            <w:r w:rsidR="00C205F5">
              <w:rPr>
                <w:i/>
                <w:sz w:val="36"/>
                <w:szCs w:val="36"/>
              </w:rPr>
              <w:t xml:space="preserve">a commitment to the search for wisdom in </w:t>
            </w:r>
            <w:r w:rsidR="00B44805">
              <w:rPr>
                <w:i/>
                <w:sz w:val="36"/>
                <w:szCs w:val="36"/>
              </w:rPr>
              <w:t>life and</w:t>
            </w:r>
            <w:r w:rsidR="00BE7F05">
              <w:rPr>
                <w:i/>
                <w:sz w:val="36"/>
                <w:szCs w:val="36"/>
              </w:rPr>
              <w:t xml:space="preserve"> to the pursuit of excellence, through</w:t>
            </w:r>
            <w:r w:rsidR="002D6764">
              <w:rPr>
                <w:i/>
                <w:sz w:val="36"/>
                <w:szCs w:val="36"/>
              </w:rPr>
              <w:t xml:space="preserve"> the development of each person’s unique God-given talents</w:t>
            </w:r>
            <w:r w:rsidR="00B44805">
              <w:rPr>
                <w:i/>
                <w:sz w:val="36"/>
                <w:szCs w:val="36"/>
              </w:rPr>
              <w:t>.</w:t>
            </w:r>
            <w:bookmarkEnd w:id="0"/>
          </w:p>
        </w:tc>
      </w:tr>
      <w:tr w:rsidR="00862846" w:rsidRPr="00B460E9" w14:paraId="627CE0CD" w14:textId="77777777" w:rsidTr="00FF3D31">
        <w:trPr>
          <w:trHeight w:val="449"/>
        </w:trPr>
        <w:tc>
          <w:tcPr>
            <w:tcW w:w="1997" w:type="dxa"/>
            <w:shd w:val="clear" w:color="auto" w:fill="000000"/>
          </w:tcPr>
          <w:p w14:paraId="4CF78532" w14:textId="77777777" w:rsidR="00B460E9" w:rsidRPr="00B460E9" w:rsidRDefault="00B460E9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Points for reflection</w:t>
            </w:r>
          </w:p>
        </w:tc>
        <w:tc>
          <w:tcPr>
            <w:tcW w:w="2296" w:type="dxa"/>
            <w:shd w:val="clear" w:color="auto" w:fill="000000"/>
          </w:tcPr>
          <w:p w14:paraId="210BF28D" w14:textId="77777777" w:rsidR="00B460E9" w:rsidRDefault="00034A65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Outline</w:t>
            </w:r>
          </w:p>
          <w:p w14:paraId="4EBDA328" w14:textId="458E277B" w:rsidR="00034A65" w:rsidRPr="00B460E9" w:rsidRDefault="00034A65" w:rsidP="00C716F3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000000"/>
          </w:tcPr>
          <w:p w14:paraId="5C29271F" w14:textId="041C37B6" w:rsidR="00B460E9" w:rsidRPr="00B460E9" w:rsidRDefault="00541E11" w:rsidP="00541E11">
            <w:pPr>
              <w:spacing w:after="0" w:line="240" w:lineRule="auto"/>
              <w:ind w:left="7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Methodology</w:t>
            </w:r>
          </w:p>
        </w:tc>
        <w:tc>
          <w:tcPr>
            <w:tcW w:w="7737" w:type="dxa"/>
            <w:gridSpan w:val="3"/>
            <w:shd w:val="clear" w:color="auto" w:fill="000000"/>
          </w:tcPr>
          <w:p w14:paraId="31CEB830" w14:textId="46BD5E1E" w:rsidR="00B460E9" w:rsidRPr="00B460E9" w:rsidRDefault="008270EA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Resources</w:t>
            </w:r>
          </w:p>
        </w:tc>
      </w:tr>
      <w:tr w:rsidR="00862846" w:rsidRPr="00B460E9" w14:paraId="5B454560" w14:textId="77777777" w:rsidTr="00FF3D31">
        <w:trPr>
          <w:trHeight w:val="70"/>
        </w:trPr>
        <w:tc>
          <w:tcPr>
            <w:tcW w:w="1997" w:type="dxa"/>
          </w:tcPr>
          <w:p w14:paraId="6AB89AC5" w14:textId="6630A09A" w:rsidR="002D7CCD" w:rsidRPr="00E86F76" w:rsidRDefault="00C40D96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86F76">
              <w:rPr>
                <w:b/>
                <w:bCs/>
                <w:i/>
                <w:color w:val="000000"/>
                <w:sz w:val="24"/>
                <w:szCs w:val="24"/>
              </w:rPr>
              <w:t xml:space="preserve">How </w:t>
            </w:r>
            <w:r w:rsidR="00E86F76" w:rsidRPr="00E86F76">
              <w:rPr>
                <w:b/>
                <w:bCs/>
                <w:i/>
                <w:color w:val="000000"/>
                <w:sz w:val="24"/>
                <w:szCs w:val="24"/>
              </w:rPr>
              <w:t>do we encourage pupils to honour the Saints as men and women who have led lives of holiness?</w:t>
            </w:r>
          </w:p>
          <w:p w14:paraId="728E1307" w14:textId="49A3D2A5" w:rsidR="00E86F76" w:rsidRDefault="00E86F76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123BD143" w14:textId="77777777" w:rsidR="00540792" w:rsidRDefault="00540792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3D6D3254" w14:textId="77777777" w:rsidR="00540792" w:rsidRDefault="00540792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608487E5" w14:textId="77777777" w:rsidR="00540792" w:rsidRDefault="00540792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5409858D" w14:textId="77777777" w:rsidR="00540792" w:rsidRDefault="00540792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04C2B90A" w14:textId="7D7FC22D" w:rsidR="00E86F76" w:rsidRDefault="00E86F76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86F76">
              <w:rPr>
                <w:b/>
                <w:bCs/>
                <w:i/>
                <w:color w:val="000000"/>
                <w:sz w:val="24"/>
                <w:szCs w:val="24"/>
              </w:rPr>
              <w:t xml:space="preserve">Do we teach pupils about other ‘role models’ who have exemplified </w:t>
            </w:r>
            <w:r w:rsidRPr="00E86F76">
              <w:rPr>
                <w:b/>
                <w:bCs/>
                <w:i/>
                <w:color w:val="000000"/>
                <w:sz w:val="24"/>
                <w:szCs w:val="24"/>
              </w:rPr>
              <w:lastRenderedPageBreak/>
              <w:t>virtue in their lives?</w:t>
            </w:r>
          </w:p>
          <w:p w14:paraId="29493C4C" w14:textId="799B0480" w:rsidR="00C057EB" w:rsidRDefault="00C057EB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4B089AFC" w14:textId="242E9263" w:rsidR="00C057EB" w:rsidRDefault="00C057EB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1D3381C3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68281625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76338A8C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53A9790F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4255E290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6318E61D" w14:textId="27960BF8" w:rsidR="007767BA" w:rsidRDefault="00E86F76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86F76">
              <w:rPr>
                <w:b/>
                <w:bCs/>
                <w:i/>
                <w:color w:val="000000"/>
                <w:sz w:val="24"/>
                <w:szCs w:val="24"/>
              </w:rPr>
              <w:t>How successful are we in helping pupils to develop virtues – good habits – in their lives?</w:t>
            </w:r>
          </w:p>
          <w:p w14:paraId="47213D4E" w14:textId="63A84620" w:rsidR="00545351" w:rsidRDefault="00545351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49971902" w14:textId="44A74455" w:rsidR="00295798" w:rsidRDefault="00295798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63584102" w14:textId="49759114" w:rsidR="000E49B4" w:rsidRDefault="000E49B4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3E4B7B2A" w14:textId="77777777" w:rsidR="000E49B4" w:rsidRDefault="000E49B4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1332741B" w14:textId="77777777" w:rsidR="00295798" w:rsidRDefault="00295798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7F25654C" w14:textId="1EA5443D" w:rsidR="00545351" w:rsidRDefault="00545351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How effectively do we provide opportunities for our pupils to commit to various forms of service to the common good?</w:t>
            </w:r>
          </w:p>
          <w:p w14:paraId="78ED3B9E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0658A1DD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52147754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12F85BCF" w14:textId="77777777" w:rsidR="00B04F4F" w:rsidRDefault="00B04F4F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0EDBCD4D" w14:textId="138D474B" w:rsidR="007767BA" w:rsidRPr="00C40D96" w:rsidRDefault="007767BA" w:rsidP="00C40D96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2296" w:type="dxa"/>
          </w:tcPr>
          <w:p w14:paraId="3E944F58" w14:textId="022F601B" w:rsidR="00C05B33" w:rsidRDefault="0084421C" w:rsidP="00E956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Two lessons for pupils in S1-S3 focussing on the theological virtue of </w:t>
            </w:r>
            <w:proofErr w:type="gramStart"/>
            <w:r>
              <w:rPr>
                <w:rFonts w:asciiTheme="majorHAnsi" w:hAnsiTheme="majorHAnsi" w:cstheme="majorHAnsi"/>
              </w:rPr>
              <w:t>faith</w:t>
            </w:r>
            <w:proofErr w:type="gramEnd"/>
          </w:p>
          <w:p w14:paraId="72B2C762" w14:textId="738316D2" w:rsidR="0084421C" w:rsidRDefault="0084421C" w:rsidP="00E956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One:</w:t>
            </w:r>
          </w:p>
          <w:p w14:paraId="070F76DF" w14:textId="25F0694B" w:rsidR="0084421C" w:rsidRDefault="0084421C" w:rsidP="0084421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understand what is meant by </w:t>
            </w:r>
            <w:proofErr w:type="gramStart"/>
            <w:r>
              <w:rPr>
                <w:rFonts w:asciiTheme="majorHAnsi" w:hAnsiTheme="majorHAnsi" w:cstheme="majorHAnsi"/>
              </w:rPr>
              <w:t>faith</w:t>
            </w:r>
            <w:proofErr w:type="gramEnd"/>
          </w:p>
          <w:p w14:paraId="130428C2" w14:textId="7E1634FF" w:rsidR="0084421C" w:rsidRPr="0084421C" w:rsidRDefault="0084421C" w:rsidP="0084421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consider biblical teachings about </w:t>
            </w:r>
            <w:proofErr w:type="gramStart"/>
            <w:r>
              <w:rPr>
                <w:rFonts w:asciiTheme="majorHAnsi" w:hAnsiTheme="majorHAnsi" w:cstheme="majorHAnsi"/>
              </w:rPr>
              <w:t>faith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0F3244F" w14:textId="77777777" w:rsidR="0084421C" w:rsidRDefault="0084421C" w:rsidP="00E95662">
            <w:pPr>
              <w:rPr>
                <w:rFonts w:asciiTheme="majorHAnsi" w:hAnsiTheme="majorHAnsi" w:cstheme="majorHAnsi"/>
              </w:rPr>
            </w:pPr>
          </w:p>
          <w:p w14:paraId="2D83281D" w14:textId="77777777" w:rsidR="0084421C" w:rsidRDefault="0084421C" w:rsidP="00E95662">
            <w:pPr>
              <w:rPr>
                <w:rFonts w:asciiTheme="majorHAnsi" w:hAnsiTheme="majorHAnsi" w:cstheme="majorHAnsi"/>
              </w:rPr>
            </w:pPr>
          </w:p>
          <w:p w14:paraId="65E9EAD0" w14:textId="77777777" w:rsidR="0084421C" w:rsidRDefault="0084421C" w:rsidP="00E95662">
            <w:pPr>
              <w:rPr>
                <w:rFonts w:asciiTheme="majorHAnsi" w:hAnsiTheme="majorHAnsi" w:cstheme="majorHAnsi"/>
              </w:rPr>
            </w:pPr>
          </w:p>
          <w:p w14:paraId="0FDC9FC5" w14:textId="77777777" w:rsidR="0084421C" w:rsidRDefault="0084421C" w:rsidP="00E956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Two:</w:t>
            </w:r>
          </w:p>
          <w:p w14:paraId="5223E330" w14:textId="77777777" w:rsidR="0084421C" w:rsidRDefault="00F61584" w:rsidP="0084421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reflect on the role of faith in the life of an inspirational </w:t>
            </w:r>
            <w:proofErr w:type="gramStart"/>
            <w:r>
              <w:rPr>
                <w:rFonts w:asciiTheme="majorHAnsi" w:hAnsiTheme="majorHAnsi" w:cstheme="majorHAnsi"/>
              </w:rPr>
              <w:t>person</w:t>
            </w:r>
            <w:proofErr w:type="gramEnd"/>
          </w:p>
          <w:p w14:paraId="069EFFFA" w14:textId="3A250AB7" w:rsidR="00F61584" w:rsidRPr="0084421C" w:rsidRDefault="00F61584" w:rsidP="0084421C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consider how to nurture their own faith </w:t>
            </w:r>
          </w:p>
        </w:tc>
        <w:tc>
          <w:tcPr>
            <w:tcW w:w="5764" w:type="dxa"/>
            <w:gridSpan w:val="3"/>
          </w:tcPr>
          <w:p w14:paraId="482E09F3" w14:textId="77777777" w:rsidR="00E95662" w:rsidRDefault="00E95662" w:rsidP="00E95662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2E4319C4" w14:textId="77777777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060B4C8" w14:textId="77777777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1131EAB" w14:textId="77777777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3871342D" w14:textId="77777777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Starter activity discussing the difference between thinking something is true and being completely convinced by </w:t>
            </w:r>
            <w:proofErr w:type="gramStart"/>
            <w:r>
              <w:rPr>
                <w:rFonts w:asciiTheme="majorHAnsi" w:hAnsiTheme="majorHAnsi" w:cstheme="majorHAnsi"/>
              </w:rPr>
              <w:t>it</w:t>
            </w:r>
            <w:proofErr w:type="gramEnd"/>
          </w:p>
          <w:p w14:paraId="34224FE2" w14:textId="235F603A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Quote from Hebrews 1:11 for pupils to </w:t>
            </w:r>
            <w:proofErr w:type="gramStart"/>
            <w:r>
              <w:rPr>
                <w:rFonts w:asciiTheme="majorHAnsi" w:hAnsiTheme="majorHAnsi" w:cstheme="majorHAnsi"/>
              </w:rPr>
              <w:t>interpret</w:t>
            </w:r>
            <w:proofErr w:type="gramEnd"/>
          </w:p>
          <w:p w14:paraId="1CFB63B8" w14:textId="7F0E4394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are asked to write a definition of faith on a post-it </w:t>
            </w:r>
            <w:proofErr w:type="gramStart"/>
            <w:r>
              <w:rPr>
                <w:rFonts w:asciiTheme="majorHAnsi" w:hAnsiTheme="majorHAnsi" w:cstheme="majorHAnsi"/>
              </w:rPr>
              <w:t>note</w:t>
            </w:r>
            <w:proofErr w:type="gramEnd"/>
          </w:p>
          <w:p w14:paraId="61438843" w14:textId="57136E27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Video clip showing Jesus and Bartimaeus for </w:t>
            </w:r>
            <w:proofErr w:type="gramStart"/>
            <w:r>
              <w:rPr>
                <w:rFonts w:asciiTheme="majorHAnsi" w:hAnsiTheme="majorHAnsi" w:cstheme="majorHAnsi"/>
              </w:rPr>
              <w:t>discussion</w:t>
            </w:r>
            <w:proofErr w:type="gramEnd"/>
          </w:p>
          <w:p w14:paraId="1F75AB88" w14:textId="2786EA18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read, summarise and explain a biblical quotation about </w:t>
            </w:r>
            <w:proofErr w:type="gramStart"/>
            <w:r>
              <w:rPr>
                <w:rFonts w:asciiTheme="majorHAnsi" w:hAnsiTheme="majorHAnsi" w:cstheme="majorHAnsi"/>
              </w:rPr>
              <w:t>faith</w:t>
            </w:r>
            <w:proofErr w:type="gramEnd"/>
          </w:p>
          <w:p w14:paraId="7DCF572F" w14:textId="31B29C4E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Discussion about faith and </w:t>
            </w:r>
            <w:proofErr w:type="gramStart"/>
            <w:r>
              <w:rPr>
                <w:rFonts w:asciiTheme="majorHAnsi" w:hAnsiTheme="majorHAnsi" w:cstheme="majorHAnsi"/>
              </w:rPr>
              <w:t>works</w:t>
            </w:r>
            <w:proofErr w:type="gramEnd"/>
          </w:p>
          <w:p w14:paraId="2C233128" w14:textId="13BE9840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consolidate their learning by completing a crossword </w:t>
            </w:r>
            <w:proofErr w:type="gramStart"/>
            <w:r>
              <w:rPr>
                <w:rFonts w:asciiTheme="majorHAnsi" w:hAnsiTheme="majorHAnsi" w:cstheme="majorHAnsi"/>
              </w:rPr>
              <w:t>puzzle</w:t>
            </w:r>
            <w:proofErr w:type="gramEnd"/>
            <w:r>
              <w:rPr>
                <w:rFonts w:asciiTheme="majorHAnsi" w:hAnsiTheme="majorHAnsi" w:cstheme="majorHAnsi"/>
              </w:rPr>
              <w:t xml:space="preserve">  </w:t>
            </w:r>
          </w:p>
          <w:p w14:paraId="5833D230" w14:textId="77777777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7DA8BDD" w14:textId="77777777" w:rsidR="0084421C" w:rsidRDefault="0084421C" w:rsidP="00E95662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23AEDA3F" w14:textId="77777777" w:rsidR="00F61584" w:rsidRDefault="00F61584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complete a cryptogram by cracking the code to recap a key teaching from last </w:t>
            </w:r>
            <w:proofErr w:type="gramStart"/>
            <w:r>
              <w:rPr>
                <w:rFonts w:asciiTheme="majorHAnsi" w:hAnsiTheme="majorHAnsi" w:cstheme="majorHAnsi"/>
              </w:rPr>
              <w:t>lesson</w:t>
            </w:r>
            <w:proofErr w:type="gramEnd"/>
          </w:p>
          <w:p w14:paraId="791F12D0" w14:textId="77777777" w:rsidR="00F61584" w:rsidRDefault="00F61584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learn about the life of Saint Oscar Romero and explain in their own words how faith impacted </w:t>
            </w:r>
            <w:proofErr w:type="gramStart"/>
            <w:r>
              <w:rPr>
                <w:rFonts w:asciiTheme="majorHAnsi" w:hAnsiTheme="majorHAnsi" w:cstheme="majorHAnsi"/>
              </w:rPr>
              <w:t>him</w:t>
            </w:r>
            <w:proofErr w:type="gramEnd"/>
          </w:p>
          <w:p w14:paraId="5206AAFD" w14:textId="77777777" w:rsidR="00F61584" w:rsidRDefault="00F61584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Pupils will make mind maps showing how they can nurture their own </w:t>
            </w:r>
            <w:proofErr w:type="gramStart"/>
            <w:r>
              <w:rPr>
                <w:rFonts w:asciiTheme="majorHAnsi" w:hAnsiTheme="majorHAnsi" w:cstheme="majorHAnsi"/>
              </w:rPr>
              <w:t>faith</w:t>
            </w:r>
            <w:proofErr w:type="gramEnd"/>
          </w:p>
          <w:p w14:paraId="09414E02" w14:textId="1BA459C5" w:rsidR="00F61584" w:rsidRPr="00E95662" w:rsidRDefault="00F61584" w:rsidP="00E9566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Optional extension task: pupils will use ICT to research the life of another faithful person </w:t>
            </w:r>
          </w:p>
        </w:tc>
        <w:tc>
          <w:tcPr>
            <w:tcW w:w="5721" w:type="dxa"/>
          </w:tcPr>
          <w:p w14:paraId="5F829218" w14:textId="77777777" w:rsidR="00E95662" w:rsidRDefault="00E95662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36417E7D" w14:textId="77777777" w:rsidR="0084421C" w:rsidRDefault="0084421C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183CB929" w14:textId="77777777" w:rsidR="0084421C" w:rsidRDefault="0084421C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23B27FBE" w14:textId="77777777" w:rsidR="0084421C" w:rsidRDefault="0084421C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26D3242C" w14:textId="77777777" w:rsidR="0084421C" w:rsidRDefault="0084421C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0AA620A0" w14:textId="77777777" w:rsidR="0084421C" w:rsidRDefault="0084421C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4B1CDFA7" w14:textId="77777777" w:rsidR="0084421C" w:rsidRDefault="0084421C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5DF913E7" w14:textId="77777777" w:rsidR="0084421C" w:rsidRPr="0084421C" w:rsidRDefault="0084421C" w:rsidP="00F1202E">
            <w:pPr>
              <w:spacing w:after="0" w:line="480" w:lineRule="auto"/>
              <w:rPr>
                <w:rFonts w:asciiTheme="majorHAnsi" w:hAnsiTheme="majorHAnsi" w:cstheme="majorHAnsi"/>
                <w:iCs/>
              </w:rPr>
            </w:pPr>
            <w:r w:rsidRPr="0084421C">
              <w:rPr>
                <w:rFonts w:asciiTheme="majorHAnsi" w:hAnsiTheme="majorHAnsi" w:cstheme="majorHAnsi"/>
                <w:iCs/>
              </w:rPr>
              <w:t>PowerPoint</w:t>
            </w:r>
          </w:p>
          <w:p w14:paraId="583EC753" w14:textId="3A883A3C" w:rsidR="0084421C" w:rsidRDefault="0084421C" w:rsidP="00F1202E">
            <w:pPr>
              <w:spacing w:after="0" w:line="480" w:lineRule="auto"/>
              <w:rPr>
                <w:rFonts w:asciiTheme="majorHAnsi" w:hAnsiTheme="majorHAnsi" w:cstheme="majorHAnsi"/>
                <w:iCs/>
              </w:rPr>
            </w:pPr>
            <w:r w:rsidRPr="0084421C">
              <w:rPr>
                <w:rFonts w:asciiTheme="majorHAnsi" w:hAnsiTheme="majorHAnsi" w:cstheme="majorHAnsi"/>
                <w:iCs/>
              </w:rPr>
              <w:t>Word Document</w:t>
            </w:r>
            <w:r>
              <w:rPr>
                <w:rFonts w:asciiTheme="majorHAnsi" w:hAnsiTheme="majorHAnsi" w:cstheme="majorHAnsi"/>
                <w:iCs/>
              </w:rPr>
              <w:t>: Faith biblical quotes</w:t>
            </w:r>
          </w:p>
          <w:p w14:paraId="172EE571" w14:textId="644FD8EA" w:rsidR="0084421C" w:rsidRDefault="0084421C" w:rsidP="00F1202E">
            <w:pPr>
              <w:spacing w:after="0" w:line="480" w:lineRule="auto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Post-it </w:t>
            </w:r>
            <w:proofErr w:type="gramStart"/>
            <w:r>
              <w:rPr>
                <w:rFonts w:asciiTheme="majorHAnsi" w:hAnsiTheme="majorHAnsi" w:cstheme="majorHAnsi"/>
                <w:iCs/>
              </w:rPr>
              <w:t>notes</w:t>
            </w:r>
            <w:proofErr w:type="gramEnd"/>
          </w:p>
          <w:p w14:paraId="66416A43" w14:textId="3F70E1A0" w:rsidR="0084421C" w:rsidRDefault="0084421C" w:rsidP="00F1202E">
            <w:pPr>
              <w:spacing w:after="0" w:line="480" w:lineRule="auto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Printable crossword puzzle </w:t>
            </w:r>
          </w:p>
          <w:p w14:paraId="2F2CA713" w14:textId="77777777" w:rsidR="0084421C" w:rsidRDefault="0084421C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5BD19428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7A8CDD6A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5714AC63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0600F44C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7CE76F1E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491CFF1F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1CE5133F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386374D2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49294EAA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4C884BAE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6E159A1D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4687FBF3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54140F3C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37889615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277FBBE7" w14:textId="77777777" w:rsid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56A4A87E" w14:textId="77777777" w:rsidR="00F61584" w:rsidRDefault="00F61584" w:rsidP="00F1202E">
            <w:pPr>
              <w:spacing w:after="0" w:line="480" w:lineRule="auto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PowerPoint</w:t>
            </w:r>
          </w:p>
          <w:p w14:paraId="5A9D73B8" w14:textId="05E0C81D" w:rsidR="00F61584" w:rsidRDefault="00F61584" w:rsidP="00F1202E">
            <w:pPr>
              <w:spacing w:after="0" w:line="480" w:lineRule="auto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Printable cryptogram</w:t>
            </w:r>
          </w:p>
          <w:p w14:paraId="1B69A7F3" w14:textId="4B245B74" w:rsidR="00F61584" w:rsidRDefault="00F61584" w:rsidP="00F1202E">
            <w:pPr>
              <w:spacing w:after="0" w:line="480" w:lineRule="auto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Access to technology if possible </w:t>
            </w:r>
          </w:p>
          <w:p w14:paraId="27A7611C" w14:textId="795C07A0" w:rsidR="00F61584" w:rsidRPr="00F61584" w:rsidRDefault="00F61584" w:rsidP="00E95662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</w:p>
        </w:tc>
      </w:tr>
      <w:tr w:rsidR="009B2BBD" w:rsidRPr="00B460E9" w14:paraId="137B2825" w14:textId="77777777" w:rsidTr="006D6D6F">
        <w:trPr>
          <w:trHeight w:val="243"/>
        </w:trPr>
        <w:tc>
          <w:tcPr>
            <w:tcW w:w="15778" w:type="dxa"/>
            <w:gridSpan w:val="6"/>
            <w:shd w:val="clear" w:color="auto" w:fill="00B0F0"/>
          </w:tcPr>
          <w:p w14:paraId="1B608B13" w14:textId="71B24D48" w:rsidR="00B04F4F" w:rsidRPr="00B04F4F" w:rsidRDefault="00963D73" w:rsidP="00B04F4F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B5093D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lastRenderedPageBreak/>
              <w:t>Characteristic from the Charter for Catholic Schools in Scotlan</w:t>
            </w:r>
            <w:r w:rsidR="00B04F4F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d</w:t>
            </w:r>
          </w:p>
          <w:p w14:paraId="46A3C2F6" w14:textId="112B38E5" w:rsidR="009B2BBD" w:rsidRPr="00963D73" w:rsidRDefault="009B2BBD" w:rsidP="00963D73">
            <w:pPr>
              <w:jc w:val="center"/>
              <w:rPr>
                <w:b/>
                <w:bCs/>
              </w:rPr>
            </w:pPr>
            <w:bookmarkStart w:id="1" w:name="_Hlk48308883"/>
            <w:r w:rsidRPr="00B5093D">
              <w:rPr>
                <w:b/>
                <w:bCs/>
                <w:i/>
                <w:iCs/>
                <w:sz w:val="36"/>
                <w:szCs w:val="36"/>
              </w:rPr>
              <w:t xml:space="preserve">Our school shows: </w:t>
            </w:r>
            <w:r w:rsidR="00B50A4E">
              <w:rPr>
                <w:b/>
                <w:bCs/>
                <w:i/>
                <w:iCs/>
                <w:sz w:val="36"/>
                <w:szCs w:val="36"/>
              </w:rPr>
              <w:t>a commitment to uphold</w:t>
            </w:r>
            <w:r w:rsidR="00781650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E20573">
              <w:rPr>
                <w:b/>
                <w:bCs/>
                <w:i/>
                <w:iCs/>
                <w:sz w:val="36"/>
                <w:szCs w:val="36"/>
              </w:rPr>
              <w:t xml:space="preserve">the moral teaching, faith </w:t>
            </w:r>
            <w:r w:rsidR="00DB496B">
              <w:rPr>
                <w:b/>
                <w:bCs/>
                <w:i/>
                <w:iCs/>
                <w:sz w:val="36"/>
                <w:szCs w:val="36"/>
              </w:rPr>
              <w:t>tradition</w:t>
            </w:r>
            <w:r w:rsidR="003A6576">
              <w:rPr>
                <w:b/>
                <w:bCs/>
                <w:i/>
                <w:iCs/>
                <w:sz w:val="36"/>
                <w:szCs w:val="36"/>
              </w:rPr>
              <w:t xml:space="preserve"> and sacramental life of the Catholic Church</w:t>
            </w:r>
            <w:bookmarkEnd w:id="1"/>
          </w:p>
        </w:tc>
      </w:tr>
      <w:tr w:rsidR="00862846" w:rsidRPr="00B460E9" w14:paraId="6A6E5CAC" w14:textId="77777777" w:rsidTr="00FF3D31">
        <w:trPr>
          <w:trHeight w:val="243"/>
        </w:trPr>
        <w:tc>
          <w:tcPr>
            <w:tcW w:w="1997" w:type="dxa"/>
          </w:tcPr>
          <w:p w14:paraId="363C9846" w14:textId="68B940ED" w:rsidR="009B2BBD" w:rsidRPr="00E95662" w:rsidRDefault="00545351" w:rsidP="009658B8">
            <w:pPr>
              <w:spacing w:after="0" w:line="240" w:lineRule="auto"/>
              <w:rPr>
                <w:b/>
                <w:bCs/>
                <w:i/>
              </w:rPr>
            </w:pPr>
            <w:r w:rsidRPr="00E95662">
              <w:rPr>
                <w:b/>
                <w:bCs/>
                <w:i/>
              </w:rPr>
              <w:t>Are our pupi</w:t>
            </w:r>
            <w:r w:rsidR="0055674D" w:rsidRPr="00E95662">
              <w:rPr>
                <w:b/>
                <w:bCs/>
                <w:i/>
              </w:rPr>
              <w:t>ls able to participate regularly in opportunities for prayer?</w:t>
            </w:r>
          </w:p>
          <w:p w14:paraId="25FCA5F5" w14:textId="68776405" w:rsidR="0084090E" w:rsidRPr="00E95662" w:rsidRDefault="0084090E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4745009D" w14:textId="3D3556FC" w:rsidR="0084090E" w:rsidRPr="00E95662" w:rsidRDefault="0084090E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4256D41E" w14:textId="61A1910E" w:rsidR="0084090E" w:rsidRPr="00E95662" w:rsidRDefault="0084090E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0E46B5CF" w14:textId="49B97302" w:rsidR="00405F86" w:rsidRPr="00E95662" w:rsidRDefault="00405F86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12700486" w14:textId="6E6A3A5B" w:rsidR="00E95662" w:rsidRDefault="00E95662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7C4D9F4E" w14:textId="48E5630E" w:rsidR="00E95662" w:rsidRDefault="00E95662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2315E355" w14:textId="19BF0627" w:rsidR="00E95662" w:rsidRDefault="00E95662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505BCA94" w14:textId="77777777" w:rsidR="00E95662" w:rsidRPr="00E95662" w:rsidRDefault="00E95662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25703816" w14:textId="77777777" w:rsidR="00B51280" w:rsidRPr="00E95662" w:rsidRDefault="00B51280" w:rsidP="009658B8">
            <w:pPr>
              <w:spacing w:after="0" w:line="240" w:lineRule="auto"/>
              <w:rPr>
                <w:b/>
                <w:bCs/>
                <w:i/>
              </w:rPr>
            </w:pPr>
          </w:p>
          <w:p w14:paraId="221C2A14" w14:textId="039CABED" w:rsidR="00A157D1" w:rsidRPr="00E95662" w:rsidRDefault="00A157D1" w:rsidP="009658B8">
            <w:pPr>
              <w:spacing w:after="0" w:line="240" w:lineRule="auto"/>
              <w:rPr>
                <w:b/>
                <w:bCs/>
                <w:i/>
              </w:rPr>
            </w:pPr>
            <w:r w:rsidRPr="00E95662">
              <w:rPr>
                <w:b/>
                <w:bCs/>
                <w:i/>
              </w:rPr>
              <w:t>How well do our pupils learn about the “story” of their school and parish/the Catholic Church in Scotland/</w:t>
            </w:r>
            <w:r w:rsidR="00E95662" w:rsidRPr="00E95662">
              <w:rPr>
                <w:b/>
                <w:bCs/>
                <w:i/>
              </w:rPr>
              <w:t xml:space="preserve"> </w:t>
            </w:r>
            <w:r w:rsidRPr="00E95662">
              <w:rPr>
                <w:b/>
                <w:bCs/>
                <w:i/>
              </w:rPr>
              <w:t xml:space="preserve">Catholic </w:t>
            </w:r>
            <w:r w:rsidR="00E95662" w:rsidRPr="00E95662">
              <w:rPr>
                <w:b/>
                <w:bCs/>
                <w:i/>
              </w:rPr>
              <w:t>e</w:t>
            </w:r>
            <w:r w:rsidRPr="00E95662">
              <w:rPr>
                <w:b/>
                <w:bCs/>
                <w:i/>
              </w:rPr>
              <w:t>ducation globally</w:t>
            </w:r>
          </w:p>
        </w:tc>
        <w:tc>
          <w:tcPr>
            <w:tcW w:w="2296" w:type="dxa"/>
          </w:tcPr>
          <w:p w14:paraId="2D870407" w14:textId="1A082DB3" w:rsidR="00991A70" w:rsidRPr="00582A0E" w:rsidRDefault="00991A70" w:rsidP="005E4E3A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74" w:type="dxa"/>
            <w:gridSpan w:val="2"/>
          </w:tcPr>
          <w:p w14:paraId="2FB25450" w14:textId="0C444AAD" w:rsidR="00E43864" w:rsidRPr="00582A0E" w:rsidRDefault="00E43864" w:rsidP="008628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11" w:type="dxa"/>
            <w:gridSpan w:val="2"/>
          </w:tcPr>
          <w:p w14:paraId="67595DBF" w14:textId="1D52CB0C" w:rsidR="005B5497" w:rsidRPr="00582A0E" w:rsidRDefault="005B5497" w:rsidP="009658B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82EEF" w:rsidRPr="00B460E9" w14:paraId="59E9C278" w14:textId="77777777" w:rsidTr="004E4E88">
        <w:trPr>
          <w:trHeight w:val="243"/>
        </w:trPr>
        <w:tc>
          <w:tcPr>
            <w:tcW w:w="15778" w:type="dxa"/>
            <w:gridSpan w:val="6"/>
            <w:shd w:val="clear" w:color="auto" w:fill="00B0F0"/>
          </w:tcPr>
          <w:p w14:paraId="098BF95B" w14:textId="0CC905A6" w:rsidR="00134813" w:rsidRPr="00B5093D" w:rsidRDefault="00134813" w:rsidP="00774A8D">
            <w:pPr>
              <w:tabs>
                <w:tab w:val="left" w:pos="4944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B460E9" w:rsidRPr="00B460E9" w14:paraId="0D3BCF8C" w14:textId="77777777" w:rsidTr="00B460E9">
        <w:trPr>
          <w:trHeight w:val="872"/>
        </w:trPr>
        <w:tc>
          <w:tcPr>
            <w:tcW w:w="15778" w:type="dxa"/>
            <w:gridSpan w:val="6"/>
          </w:tcPr>
          <w:p w14:paraId="71A3B119" w14:textId="77777777" w:rsidR="00B460E9" w:rsidRPr="00B460E9" w:rsidRDefault="00B460E9" w:rsidP="00F37AC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B460E9">
              <w:rPr>
                <w:i/>
                <w:sz w:val="28"/>
                <w:szCs w:val="28"/>
              </w:rPr>
              <w:t xml:space="preserve">“What makes the Catholic school distinctive is its attempt to generate a community climate that is permeated by the Gospel spirit of freedom and </w:t>
            </w:r>
            <w:proofErr w:type="gramStart"/>
            <w:r w:rsidRPr="00B460E9">
              <w:rPr>
                <w:i/>
                <w:sz w:val="28"/>
                <w:szCs w:val="28"/>
              </w:rPr>
              <w:t>love”</w:t>
            </w:r>
            <w:proofErr w:type="gramEnd"/>
          </w:p>
          <w:p w14:paraId="2FCE0252" w14:textId="77777777" w:rsidR="00B460E9" w:rsidRPr="00B460E9" w:rsidRDefault="00B460E9" w:rsidP="00F37AC3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460E9">
              <w:rPr>
                <w:i/>
                <w:sz w:val="20"/>
                <w:szCs w:val="20"/>
              </w:rPr>
              <w:t>Declaration on Christian Education (</w:t>
            </w:r>
            <w:proofErr w:type="spellStart"/>
            <w:r w:rsidRPr="00B460E9">
              <w:rPr>
                <w:i/>
                <w:sz w:val="20"/>
                <w:szCs w:val="20"/>
              </w:rPr>
              <w:t>Gravissimum</w:t>
            </w:r>
            <w:proofErr w:type="spellEnd"/>
            <w:r w:rsidRPr="00B460E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0E9">
              <w:rPr>
                <w:i/>
                <w:sz w:val="20"/>
                <w:szCs w:val="20"/>
              </w:rPr>
              <w:t>Educationis</w:t>
            </w:r>
            <w:proofErr w:type="spellEnd"/>
            <w:r w:rsidRPr="00B460E9">
              <w:rPr>
                <w:i/>
                <w:sz w:val="20"/>
                <w:szCs w:val="20"/>
              </w:rPr>
              <w:t>), 1965</w:t>
            </w:r>
          </w:p>
        </w:tc>
      </w:tr>
    </w:tbl>
    <w:p w14:paraId="4A95D379" w14:textId="77777777" w:rsidR="00B52484" w:rsidRDefault="00B52484" w:rsidP="004844F4"/>
    <w:sectPr w:rsidR="00B52484" w:rsidSect="00B460E9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03D1" w14:textId="77777777" w:rsidR="00CE7A58" w:rsidRDefault="00CE7A58" w:rsidP="000D512B">
      <w:pPr>
        <w:spacing w:after="0" w:line="240" w:lineRule="auto"/>
      </w:pPr>
      <w:r>
        <w:separator/>
      </w:r>
    </w:p>
  </w:endnote>
  <w:endnote w:type="continuationSeparator" w:id="0">
    <w:p w14:paraId="57DB49E9" w14:textId="77777777" w:rsidR="00CE7A58" w:rsidRDefault="00CE7A58" w:rsidP="000D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BE37" w14:textId="159C0404" w:rsidR="009A39C6" w:rsidRPr="000D512B" w:rsidRDefault="000D512B" w:rsidP="009A39C6">
    <w:pPr>
      <w:pStyle w:val="Footer"/>
      <w:tabs>
        <w:tab w:val="clear" w:pos="9026"/>
        <w:tab w:val="right" w:pos="13892"/>
      </w:tabs>
      <w:rPr>
        <w:sz w:val="18"/>
        <w:szCs w:val="18"/>
      </w:rPr>
    </w:pPr>
    <w:r w:rsidRPr="000D512B">
      <w:rPr>
        <w:sz w:val="18"/>
        <w:szCs w:val="18"/>
      </w:rPr>
      <w:fldChar w:fldCharType="begin"/>
    </w:r>
    <w:r w:rsidRPr="000D512B">
      <w:rPr>
        <w:sz w:val="18"/>
        <w:szCs w:val="18"/>
      </w:rPr>
      <w:instrText xml:space="preserve"> PAGE   \* MERGEFORMAT </w:instrText>
    </w:r>
    <w:r w:rsidRPr="000D512B">
      <w:rPr>
        <w:sz w:val="18"/>
        <w:szCs w:val="18"/>
      </w:rPr>
      <w:fldChar w:fldCharType="separate"/>
    </w:r>
    <w:r w:rsidR="007217AC">
      <w:rPr>
        <w:noProof/>
        <w:sz w:val="18"/>
        <w:szCs w:val="18"/>
      </w:rPr>
      <w:t>4</w:t>
    </w:r>
    <w:r w:rsidRPr="000D512B">
      <w:rPr>
        <w:sz w:val="18"/>
        <w:szCs w:val="18"/>
      </w:rPr>
      <w:fldChar w:fldCharType="end"/>
    </w:r>
    <w:r w:rsidR="009A39C6">
      <w:rPr>
        <w:color w:val="FF0000"/>
      </w:rPr>
      <w:t xml:space="preserve"> </w:t>
    </w:r>
    <w:r w:rsidR="009A39C6">
      <w:rPr>
        <w:color w:val="FF0000"/>
      </w:rPr>
      <w:tab/>
    </w:r>
    <w:r w:rsidR="009A39C6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4D85" w14:textId="77777777" w:rsidR="00CE7A58" w:rsidRDefault="00CE7A58" w:rsidP="000D512B">
      <w:pPr>
        <w:spacing w:after="0" w:line="240" w:lineRule="auto"/>
      </w:pPr>
      <w:r>
        <w:separator/>
      </w:r>
    </w:p>
  </w:footnote>
  <w:footnote w:type="continuationSeparator" w:id="0">
    <w:p w14:paraId="64996BA6" w14:textId="77777777" w:rsidR="00CE7A58" w:rsidRDefault="00CE7A58" w:rsidP="000D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875"/>
    <w:multiLevelType w:val="multilevel"/>
    <w:tmpl w:val="BE6E092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D36D0"/>
    <w:multiLevelType w:val="hybridMultilevel"/>
    <w:tmpl w:val="1BBE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2690"/>
    <w:multiLevelType w:val="hybridMultilevel"/>
    <w:tmpl w:val="328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0C88"/>
    <w:multiLevelType w:val="hybridMultilevel"/>
    <w:tmpl w:val="E2B27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055414"/>
    <w:multiLevelType w:val="hybridMultilevel"/>
    <w:tmpl w:val="B14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7ED1"/>
    <w:multiLevelType w:val="multilevel"/>
    <w:tmpl w:val="BE6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603383"/>
    <w:multiLevelType w:val="hybridMultilevel"/>
    <w:tmpl w:val="AD7C2028"/>
    <w:lvl w:ilvl="0" w:tplc="E2D0FC1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105BF"/>
    <w:multiLevelType w:val="hybridMultilevel"/>
    <w:tmpl w:val="5340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87267"/>
    <w:multiLevelType w:val="multilevel"/>
    <w:tmpl w:val="BE6E092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462028"/>
    <w:multiLevelType w:val="hybridMultilevel"/>
    <w:tmpl w:val="043E3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6363">
    <w:abstractNumId w:val="9"/>
  </w:num>
  <w:num w:numId="2" w16cid:durableId="155866249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 w:tentative="1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 w:tentative="1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 w:tentative="1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 w:tentative="1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  <w:num w:numId="3" w16cid:durableId="1082222084">
    <w:abstractNumId w:val="7"/>
  </w:num>
  <w:num w:numId="4" w16cid:durableId="689648614">
    <w:abstractNumId w:val="3"/>
  </w:num>
  <w:num w:numId="5" w16cid:durableId="1276864920">
    <w:abstractNumId w:val="4"/>
  </w:num>
  <w:num w:numId="6" w16cid:durableId="48506199">
    <w:abstractNumId w:val="1"/>
  </w:num>
  <w:num w:numId="7" w16cid:durableId="2118208161">
    <w:abstractNumId w:val="8"/>
  </w:num>
  <w:num w:numId="8" w16cid:durableId="1071393831">
    <w:abstractNumId w:val="0"/>
  </w:num>
  <w:num w:numId="9" w16cid:durableId="1863519389">
    <w:abstractNumId w:val="2"/>
  </w:num>
  <w:num w:numId="10" w16cid:durableId="1044673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EC"/>
    <w:rsid w:val="000118D6"/>
    <w:rsid w:val="00030C13"/>
    <w:rsid w:val="00034A65"/>
    <w:rsid w:val="0004388C"/>
    <w:rsid w:val="00043966"/>
    <w:rsid w:val="00054CA2"/>
    <w:rsid w:val="0005785C"/>
    <w:rsid w:val="000633C9"/>
    <w:rsid w:val="00067D17"/>
    <w:rsid w:val="00083E90"/>
    <w:rsid w:val="00086062"/>
    <w:rsid w:val="000D512B"/>
    <w:rsid w:val="000E1629"/>
    <w:rsid w:val="000E388E"/>
    <w:rsid w:val="000E49B4"/>
    <w:rsid w:val="000F1D6B"/>
    <w:rsid w:val="0010327D"/>
    <w:rsid w:val="00104C1C"/>
    <w:rsid w:val="001057FF"/>
    <w:rsid w:val="00122B37"/>
    <w:rsid w:val="00123539"/>
    <w:rsid w:val="00125985"/>
    <w:rsid w:val="00134813"/>
    <w:rsid w:val="0013481B"/>
    <w:rsid w:val="001408A7"/>
    <w:rsid w:val="00147C75"/>
    <w:rsid w:val="00160484"/>
    <w:rsid w:val="00164C6C"/>
    <w:rsid w:val="00171B57"/>
    <w:rsid w:val="001768D6"/>
    <w:rsid w:val="001778BD"/>
    <w:rsid w:val="00192465"/>
    <w:rsid w:val="0019590C"/>
    <w:rsid w:val="00196240"/>
    <w:rsid w:val="001C2682"/>
    <w:rsid w:val="001C6890"/>
    <w:rsid w:val="001E24FE"/>
    <w:rsid w:val="001E4088"/>
    <w:rsid w:val="001E70BB"/>
    <w:rsid w:val="00204517"/>
    <w:rsid w:val="00227B14"/>
    <w:rsid w:val="00231364"/>
    <w:rsid w:val="00231EAA"/>
    <w:rsid w:val="00233B18"/>
    <w:rsid w:val="00234946"/>
    <w:rsid w:val="00237146"/>
    <w:rsid w:val="00237509"/>
    <w:rsid w:val="0024079C"/>
    <w:rsid w:val="002433F4"/>
    <w:rsid w:val="00251850"/>
    <w:rsid w:val="002536B5"/>
    <w:rsid w:val="0025474B"/>
    <w:rsid w:val="00264292"/>
    <w:rsid w:val="00295502"/>
    <w:rsid w:val="00295798"/>
    <w:rsid w:val="00295B05"/>
    <w:rsid w:val="002A2FEF"/>
    <w:rsid w:val="002A33D4"/>
    <w:rsid w:val="002B384F"/>
    <w:rsid w:val="002C0046"/>
    <w:rsid w:val="002C1AA0"/>
    <w:rsid w:val="002C7CE6"/>
    <w:rsid w:val="002D6764"/>
    <w:rsid w:val="002D7CCD"/>
    <w:rsid w:val="002F259E"/>
    <w:rsid w:val="002F3068"/>
    <w:rsid w:val="003111E4"/>
    <w:rsid w:val="0031479C"/>
    <w:rsid w:val="00321D4C"/>
    <w:rsid w:val="00333052"/>
    <w:rsid w:val="003453A4"/>
    <w:rsid w:val="00347D69"/>
    <w:rsid w:val="0035190B"/>
    <w:rsid w:val="0035736F"/>
    <w:rsid w:val="003625EA"/>
    <w:rsid w:val="00366EC7"/>
    <w:rsid w:val="0037627B"/>
    <w:rsid w:val="00376400"/>
    <w:rsid w:val="0038514A"/>
    <w:rsid w:val="003858DC"/>
    <w:rsid w:val="00393DA5"/>
    <w:rsid w:val="003A6576"/>
    <w:rsid w:val="003C1121"/>
    <w:rsid w:val="003D5823"/>
    <w:rsid w:val="003E13CF"/>
    <w:rsid w:val="003E35E6"/>
    <w:rsid w:val="003E7A1D"/>
    <w:rsid w:val="003F0C9D"/>
    <w:rsid w:val="004009D2"/>
    <w:rsid w:val="004054EE"/>
    <w:rsid w:val="00405F86"/>
    <w:rsid w:val="004230C6"/>
    <w:rsid w:val="00442723"/>
    <w:rsid w:val="00444B29"/>
    <w:rsid w:val="0046689A"/>
    <w:rsid w:val="00470200"/>
    <w:rsid w:val="00471AB4"/>
    <w:rsid w:val="0048239E"/>
    <w:rsid w:val="004844F4"/>
    <w:rsid w:val="00495781"/>
    <w:rsid w:val="00495B5B"/>
    <w:rsid w:val="00496875"/>
    <w:rsid w:val="004A387E"/>
    <w:rsid w:val="004A550E"/>
    <w:rsid w:val="004B136A"/>
    <w:rsid w:val="004B3F90"/>
    <w:rsid w:val="004D1F5C"/>
    <w:rsid w:val="004E4E88"/>
    <w:rsid w:val="004F293A"/>
    <w:rsid w:val="00503F38"/>
    <w:rsid w:val="00510EA0"/>
    <w:rsid w:val="00512BB2"/>
    <w:rsid w:val="00514803"/>
    <w:rsid w:val="005219D8"/>
    <w:rsid w:val="00524DEB"/>
    <w:rsid w:val="005268C6"/>
    <w:rsid w:val="005276EA"/>
    <w:rsid w:val="00535F80"/>
    <w:rsid w:val="00537C39"/>
    <w:rsid w:val="00540792"/>
    <w:rsid w:val="00541752"/>
    <w:rsid w:val="00541E11"/>
    <w:rsid w:val="00542589"/>
    <w:rsid w:val="00545351"/>
    <w:rsid w:val="0055674D"/>
    <w:rsid w:val="00557439"/>
    <w:rsid w:val="00562EB0"/>
    <w:rsid w:val="00571FEA"/>
    <w:rsid w:val="00582A0E"/>
    <w:rsid w:val="0058789E"/>
    <w:rsid w:val="00590031"/>
    <w:rsid w:val="005A32CA"/>
    <w:rsid w:val="005B2781"/>
    <w:rsid w:val="005B5497"/>
    <w:rsid w:val="005B7415"/>
    <w:rsid w:val="005B7903"/>
    <w:rsid w:val="005C003C"/>
    <w:rsid w:val="005C3407"/>
    <w:rsid w:val="005C5D5A"/>
    <w:rsid w:val="005D0520"/>
    <w:rsid w:val="005D1E37"/>
    <w:rsid w:val="005E4E3A"/>
    <w:rsid w:val="005F078C"/>
    <w:rsid w:val="005F1F06"/>
    <w:rsid w:val="005F7A82"/>
    <w:rsid w:val="006110B7"/>
    <w:rsid w:val="00614EDF"/>
    <w:rsid w:val="0061760D"/>
    <w:rsid w:val="00621A48"/>
    <w:rsid w:val="006233E8"/>
    <w:rsid w:val="00630ED6"/>
    <w:rsid w:val="00631F09"/>
    <w:rsid w:val="0066107B"/>
    <w:rsid w:val="006929FA"/>
    <w:rsid w:val="006A663C"/>
    <w:rsid w:val="006C1775"/>
    <w:rsid w:val="006C53A8"/>
    <w:rsid w:val="006D6D6F"/>
    <w:rsid w:val="006E77C7"/>
    <w:rsid w:val="00701882"/>
    <w:rsid w:val="00712225"/>
    <w:rsid w:val="007217AC"/>
    <w:rsid w:val="007239B2"/>
    <w:rsid w:val="007401CA"/>
    <w:rsid w:val="00757190"/>
    <w:rsid w:val="0076655A"/>
    <w:rsid w:val="007669AB"/>
    <w:rsid w:val="007673CA"/>
    <w:rsid w:val="00771630"/>
    <w:rsid w:val="00774A8D"/>
    <w:rsid w:val="007767BA"/>
    <w:rsid w:val="00780B72"/>
    <w:rsid w:val="00781650"/>
    <w:rsid w:val="00783052"/>
    <w:rsid w:val="007958C2"/>
    <w:rsid w:val="007A05B4"/>
    <w:rsid w:val="007A531D"/>
    <w:rsid w:val="007B6090"/>
    <w:rsid w:val="007B61B7"/>
    <w:rsid w:val="007B6E5E"/>
    <w:rsid w:val="007C1F6E"/>
    <w:rsid w:val="007D44DF"/>
    <w:rsid w:val="007D7A01"/>
    <w:rsid w:val="007E5A1E"/>
    <w:rsid w:val="00815997"/>
    <w:rsid w:val="00825BB7"/>
    <w:rsid w:val="008270EA"/>
    <w:rsid w:val="0084090E"/>
    <w:rsid w:val="0084421C"/>
    <w:rsid w:val="008456CE"/>
    <w:rsid w:val="008501DE"/>
    <w:rsid w:val="008505CB"/>
    <w:rsid w:val="0085174E"/>
    <w:rsid w:val="00854366"/>
    <w:rsid w:val="0085712D"/>
    <w:rsid w:val="008576A7"/>
    <w:rsid w:val="00862846"/>
    <w:rsid w:val="00865456"/>
    <w:rsid w:val="00866552"/>
    <w:rsid w:val="00870EF4"/>
    <w:rsid w:val="008767F2"/>
    <w:rsid w:val="008961B1"/>
    <w:rsid w:val="008A1791"/>
    <w:rsid w:val="008B0FD6"/>
    <w:rsid w:val="008B2231"/>
    <w:rsid w:val="008C133D"/>
    <w:rsid w:val="008C1782"/>
    <w:rsid w:val="008C550F"/>
    <w:rsid w:val="008D75D4"/>
    <w:rsid w:val="008E247C"/>
    <w:rsid w:val="008E4969"/>
    <w:rsid w:val="009023C5"/>
    <w:rsid w:val="00903BAC"/>
    <w:rsid w:val="00916830"/>
    <w:rsid w:val="009237A0"/>
    <w:rsid w:val="0092653A"/>
    <w:rsid w:val="00940C9A"/>
    <w:rsid w:val="0095489B"/>
    <w:rsid w:val="00956057"/>
    <w:rsid w:val="009573CC"/>
    <w:rsid w:val="00963D73"/>
    <w:rsid w:val="009658B8"/>
    <w:rsid w:val="00980991"/>
    <w:rsid w:val="00981535"/>
    <w:rsid w:val="0098286F"/>
    <w:rsid w:val="00982EEF"/>
    <w:rsid w:val="009851F7"/>
    <w:rsid w:val="00986865"/>
    <w:rsid w:val="00991A70"/>
    <w:rsid w:val="009A037E"/>
    <w:rsid w:val="009A39C6"/>
    <w:rsid w:val="009B100E"/>
    <w:rsid w:val="009B2BBD"/>
    <w:rsid w:val="009B31DF"/>
    <w:rsid w:val="009B4E3B"/>
    <w:rsid w:val="009C29C0"/>
    <w:rsid w:val="009C6D18"/>
    <w:rsid w:val="009D1FA1"/>
    <w:rsid w:val="009D5498"/>
    <w:rsid w:val="009E4CD3"/>
    <w:rsid w:val="009F0CBD"/>
    <w:rsid w:val="00A0252E"/>
    <w:rsid w:val="00A027D8"/>
    <w:rsid w:val="00A11690"/>
    <w:rsid w:val="00A11853"/>
    <w:rsid w:val="00A157D1"/>
    <w:rsid w:val="00A15D8E"/>
    <w:rsid w:val="00A2665B"/>
    <w:rsid w:val="00A2726C"/>
    <w:rsid w:val="00A30505"/>
    <w:rsid w:val="00A346BF"/>
    <w:rsid w:val="00A41A48"/>
    <w:rsid w:val="00A42100"/>
    <w:rsid w:val="00A51B3C"/>
    <w:rsid w:val="00A51D26"/>
    <w:rsid w:val="00A607B3"/>
    <w:rsid w:val="00A63A72"/>
    <w:rsid w:val="00A72B8B"/>
    <w:rsid w:val="00A8401B"/>
    <w:rsid w:val="00A866F5"/>
    <w:rsid w:val="00A9148A"/>
    <w:rsid w:val="00A94C94"/>
    <w:rsid w:val="00AB2DBC"/>
    <w:rsid w:val="00AB32D4"/>
    <w:rsid w:val="00AB3D3D"/>
    <w:rsid w:val="00AB622A"/>
    <w:rsid w:val="00AB7FB4"/>
    <w:rsid w:val="00AD127F"/>
    <w:rsid w:val="00B013BA"/>
    <w:rsid w:val="00B0288D"/>
    <w:rsid w:val="00B04F4F"/>
    <w:rsid w:val="00B10FF9"/>
    <w:rsid w:val="00B142D8"/>
    <w:rsid w:val="00B1604B"/>
    <w:rsid w:val="00B164FC"/>
    <w:rsid w:val="00B26734"/>
    <w:rsid w:val="00B40670"/>
    <w:rsid w:val="00B44805"/>
    <w:rsid w:val="00B460E9"/>
    <w:rsid w:val="00B50207"/>
    <w:rsid w:val="00B5093D"/>
    <w:rsid w:val="00B50A4E"/>
    <w:rsid w:val="00B51280"/>
    <w:rsid w:val="00B52484"/>
    <w:rsid w:val="00B62643"/>
    <w:rsid w:val="00B66CB4"/>
    <w:rsid w:val="00B75D1F"/>
    <w:rsid w:val="00B80921"/>
    <w:rsid w:val="00B82F32"/>
    <w:rsid w:val="00BA508B"/>
    <w:rsid w:val="00BB23CD"/>
    <w:rsid w:val="00BB5237"/>
    <w:rsid w:val="00BC1BA0"/>
    <w:rsid w:val="00BD0F8A"/>
    <w:rsid w:val="00BD3F13"/>
    <w:rsid w:val="00BE494C"/>
    <w:rsid w:val="00BE52EC"/>
    <w:rsid w:val="00BE7F05"/>
    <w:rsid w:val="00BF4F25"/>
    <w:rsid w:val="00BF7E30"/>
    <w:rsid w:val="00C057EB"/>
    <w:rsid w:val="00C05B33"/>
    <w:rsid w:val="00C06F03"/>
    <w:rsid w:val="00C12682"/>
    <w:rsid w:val="00C12B64"/>
    <w:rsid w:val="00C13BB5"/>
    <w:rsid w:val="00C1509F"/>
    <w:rsid w:val="00C205F5"/>
    <w:rsid w:val="00C27566"/>
    <w:rsid w:val="00C40BC3"/>
    <w:rsid w:val="00C40D96"/>
    <w:rsid w:val="00C41D03"/>
    <w:rsid w:val="00C53889"/>
    <w:rsid w:val="00C5615B"/>
    <w:rsid w:val="00C5782C"/>
    <w:rsid w:val="00C6795C"/>
    <w:rsid w:val="00C716F3"/>
    <w:rsid w:val="00C71D4B"/>
    <w:rsid w:val="00C75E8A"/>
    <w:rsid w:val="00C80EDF"/>
    <w:rsid w:val="00C873D3"/>
    <w:rsid w:val="00C9055E"/>
    <w:rsid w:val="00C91FB0"/>
    <w:rsid w:val="00C92DCE"/>
    <w:rsid w:val="00CA0096"/>
    <w:rsid w:val="00CA017E"/>
    <w:rsid w:val="00CB6129"/>
    <w:rsid w:val="00CB7BEC"/>
    <w:rsid w:val="00CC00C2"/>
    <w:rsid w:val="00CC0360"/>
    <w:rsid w:val="00CD278E"/>
    <w:rsid w:val="00CD58E8"/>
    <w:rsid w:val="00CD76C1"/>
    <w:rsid w:val="00CE3457"/>
    <w:rsid w:val="00CE7189"/>
    <w:rsid w:val="00CE7A58"/>
    <w:rsid w:val="00CF3A65"/>
    <w:rsid w:val="00CF5BCE"/>
    <w:rsid w:val="00D03FC3"/>
    <w:rsid w:val="00D15F9F"/>
    <w:rsid w:val="00D1762D"/>
    <w:rsid w:val="00D41DC8"/>
    <w:rsid w:val="00D46331"/>
    <w:rsid w:val="00D46D2D"/>
    <w:rsid w:val="00D472D2"/>
    <w:rsid w:val="00D54250"/>
    <w:rsid w:val="00D76F33"/>
    <w:rsid w:val="00DA2382"/>
    <w:rsid w:val="00DB496B"/>
    <w:rsid w:val="00DB7EB6"/>
    <w:rsid w:val="00DC40BD"/>
    <w:rsid w:val="00DC53F0"/>
    <w:rsid w:val="00DD62BC"/>
    <w:rsid w:val="00DD7694"/>
    <w:rsid w:val="00DD77C0"/>
    <w:rsid w:val="00DE5654"/>
    <w:rsid w:val="00DF0664"/>
    <w:rsid w:val="00DF2BFC"/>
    <w:rsid w:val="00E07169"/>
    <w:rsid w:val="00E113C7"/>
    <w:rsid w:val="00E12427"/>
    <w:rsid w:val="00E13A70"/>
    <w:rsid w:val="00E13DE1"/>
    <w:rsid w:val="00E15776"/>
    <w:rsid w:val="00E2031A"/>
    <w:rsid w:val="00E20573"/>
    <w:rsid w:val="00E211A4"/>
    <w:rsid w:val="00E24D98"/>
    <w:rsid w:val="00E32BA1"/>
    <w:rsid w:val="00E433E6"/>
    <w:rsid w:val="00E43864"/>
    <w:rsid w:val="00E51523"/>
    <w:rsid w:val="00E54434"/>
    <w:rsid w:val="00E55669"/>
    <w:rsid w:val="00E56AFF"/>
    <w:rsid w:val="00E74182"/>
    <w:rsid w:val="00E836DA"/>
    <w:rsid w:val="00E86F76"/>
    <w:rsid w:val="00E93FC4"/>
    <w:rsid w:val="00E95662"/>
    <w:rsid w:val="00EA7F19"/>
    <w:rsid w:val="00EB31EC"/>
    <w:rsid w:val="00EB5794"/>
    <w:rsid w:val="00EC2828"/>
    <w:rsid w:val="00EC7156"/>
    <w:rsid w:val="00ED2FEB"/>
    <w:rsid w:val="00ED5BB2"/>
    <w:rsid w:val="00EE2C0C"/>
    <w:rsid w:val="00EF06D0"/>
    <w:rsid w:val="00EF0925"/>
    <w:rsid w:val="00EF3965"/>
    <w:rsid w:val="00EF7055"/>
    <w:rsid w:val="00F06281"/>
    <w:rsid w:val="00F101B6"/>
    <w:rsid w:val="00F1202E"/>
    <w:rsid w:val="00F15FA0"/>
    <w:rsid w:val="00F17200"/>
    <w:rsid w:val="00F24CA0"/>
    <w:rsid w:val="00F251C4"/>
    <w:rsid w:val="00F25520"/>
    <w:rsid w:val="00F305D6"/>
    <w:rsid w:val="00F335B8"/>
    <w:rsid w:val="00F37AC3"/>
    <w:rsid w:val="00F4407C"/>
    <w:rsid w:val="00F50660"/>
    <w:rsid w:val="00F61584"/>
    <w:rsid w:val="00F81D79"/>
    <w:rsid w:val="00F9686F"/>
    <w:rsid w:val="00F97324"/>
    <w:rsid w:val="00F97480"/>
    <w:rsid w:val="00FB1668"/>
    <w:rsid w:val="00FB1F9E"/>
    <w:rsid w:val="00FB294D"/>
    <w:rsid w:val="00FB3149"/>
    <w:rsid w:val="00FC0581"/>
    <w:rsid w:val="00FC4831"/>
    <w:rsid w:val="00FD1DDF"/>
    <w:rsid w:val="00FD3C32"/>
    <w:rsid w:val="00FD74CF"/>
    <w:rsid w:val="00FE0EDC"/>
    <w:rsid w:val="00FE37EA"/>
    <w:rsid w:val="00FF3D31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9B10"/>
  <w15:chartTrackingRefBased/>
  <w15:docId w15:val="{B1EA6CEF-66CB-4740-BDCB-4DF396B9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2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5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2EC"/>
    <w:pPr>
      <w:ind w:left="720"/>
      <w:contextualSpacing/>
    </w:pPr>
  </w:style>
  <w:style w:type="character" w:styleId="Hyperlink">
    <w:name w:val="Hyperlink"/>
    <w:uiPriority w:val="99"/>
    <w:unhideWhenUsed/>
    <w:rsid w:val="00940C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2B"/>
  </w:style>
  <w:style w:type="paragraph" w:styleId="Footer">
    <w:name w:val="footer"/>
    <w:basedOn w:val="Normal"/>
    <w:link w:val="FooterChar"/>
    <w:uiPriority w:val="99"/>
    <w:unhideWhenUsed/>
    <w:rsid w:val="000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2B"/>
  </w:style>
  <w:style w:type="character" w:styleId="FollowedHyperlink">
    <w:name w:val="FollowedHyperlink"/>
    <w:uiPriority w:val="99"/>
    <w:semiHidden/>
    <w:unhideWhenUsed/>
    <w:rsid w:val="00CE345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578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F8AD9C6A2F04EB03F67456BD0C42D" ma:contentTypeVersion="13" ma:contentTypeDescription="Create a new document." ma:contentTypeScope="" ma:versionID="fe835f49068167801eb648db1dc8a195">
  <xsd:schema xmlns:xsd="http://www.w3.org/2001/XMLSchema" xmlns:xs="http://www.w3.org/2001/XMLSchema" xmlns:p="http://schemas.microsoft.com/office/2006/metadata/properties" xmlns:ns3="639eb157-3ae8-4610-b414-c1f92677b409" xmlns:ns4="c9fe588f-fb40-48f1-889b-8db32f42fe8e" targetNamespace="http://schemas.microsoft.com/office/2006/metadata/properties" ma:root="true" ma:fieldsID="af2809cc22b4e3b2f92fc2be3a45dafc" ns3:_="" ns4:_="">
    <xsd:import namespace="639eb157-3ae8-4610-b414-c1f92677b409"/>
    <xsd:import namespace="c9fe588f-fb40-48f1-889b-8db32f42f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157-3ae8-4610-b414-c1f92677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588f-fb40-48f1-889b-8db32f42f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A5EC5-5FC8-4A3D-9B54-96710AA9DF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EC741-473A-466D-96ED-471FD1881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eb157-3ae8-4610-b414-c1f92677b409"/>
    <ds:schemaRef ds:uri="c9fe588f-fb40-48f1-889b-8db32f42f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DEF03-2FDE-4D85-A868-1977360AE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C14D9-43BF-43F1-BE37-373E390D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</CharactersWithSpaces>
  <SharedDoc>false</SharedDoc>
  <HLinks>
    <vt:vector size="30" baseType="variant">
      <vt:variant>
        <vt:i4>1966080</vt:i4>
      </vt:variant>
      <vt:variant>
        <vt:i4>12</vt:i4>
      </vt:variant>
      <vt:variant>
        <vt:i4>0</vt:i4>
      </vt:variant>
      <vt:variant>
        <vt:i4>5</vt:i4>
      </vt:variant>
      <vt:variant>
        <vt:lpwstr>https://www.crs.org/resource-center/catholic-social-teaching-lesson-plans</vt:lpwstr>
      </vt:variant>
      <vt:variant>
        <vt:lpwstr/>
      </vt:variant>
      <vt:variant>
        <vt:i4>5570560</vt:i4>
      </vt:variant>
      <vt:variant>
        <vt:i4>9</vt:i4>
      </vt:variant>
      <vt:variant>
        <vt:i4>0</vt:i4>
      </vt:variant>
      <vt:variant>
        <vt:i4>5</vt:i4>
      </vt:variant>
      <vt:variant>
        <vt:lpwstr>https://www.ssvpscotland.com/ssvpyouth/mini-vinnies/</vt:lpwstr>
      </vt:variant>
      <vt:variant>
        <vt:lpwstr/>
      </vt:variant>
      <vt:variant>
        <vt:i4>2293860</vt:i4>
      </vt:variant>
      <vt:variant>
        <vt:i4>6</vt:i4>
      </vt:variant>
      <vt:variant>
        <vt:i4>0</vt:i4>
      </vt:variant>
      <vt:variant>
        <vt:i4>5</vt:i4>
      </vt:variant>
      <vt:variant>
        <vt:lpwstr>https://www.sciaf.org.uk/get-involved/resources/filter:Schools</vt:lpwstr>
      </vt:variant>
      <vt:variant>
        <vt:lpwstr/>
      </vt:variant>
      <vt:variant>
        <vt:i4>1114136</vt:i4>
      </vt:variant>
      <vt:variant>
        <vt:i4>3</vt:i4>
      </vt:variant>
      <vt:variant>
        <vt:i4>0</vt:i4>
      </vt:variant>
      <vt:variant>
        <vt:i4>5</vt:i4>
      </vt:variant>
      <vt:variant>
        <vt:lpwstr>http://www.caritas.org.au/learn/catholic-social-teaching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http://www.caritas.org.au/learn/catholic-social-teaching/all-videos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Campbell</dc:creator>
  <cp:keywords/>
  <cp:lastModifiedBy>Thomas Carroll (Staff)</cp:lastModifiedBy>
  <cp:revision>3</cp:revision>
  <cp:lastPrinted>2019-08-21T10:27:00Z</cp:lastPrinted>
  <dcterms:created xsi:type="dcterms:W3CDTF">2023-07-26T16:30:00Z</dcterms:created>
  <dcterms:modified xsi:type="dcterms:W3CDTF">2023-07-26T16:39:00Z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0x01010004BF8AD9C6A2F04EB03F67456BD0C42D</vt:lpwstr>
  </property>
</Properties>
</file>