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BB9" w:rsidRPr="00AD2BB9" w:rsidRDefault="00AD2BB9" w:rsidP="00AD2BB9">
      <w:pPr>
        <w:spacing w:before="330" w:after="165" w:line="240" w:lineRule="auto"/>
        <w:outlineLvl w:val="1"/>
        <w:rPr>
          <w:rFonts w:ascii="Candara" w:eastAsia="Times New Roman" w:hAnsi="Candara" w:cs="Arial"/>
          <w:color w:val="000000" w:themeColor="text1"/>
          <w:sz w:val="39"/>
          <w:szCs w:val="39"/>
          <w:lang w:eastAsia="en-GB"/>
        </w:rPr>
      </w:pPr>
      <w:r w:rsidRPr="00AD2BB9">
        <w:rPr>
          <w:rFonts w:ascii="Candara" w:eastAsia="Times New Roman" w:hAnsi="Candara" w:cs="Arial"/>
          <w:color w:val="000000" w:themeColor="text1"/>
          <w:sz w:val="39"/>
          <w:szCs w:val="39"/>
          <w:lang w:eastAsia="en-GB"/>
        </w:rPr>
        <w:t>What are protected characteristics?</w:t>
      </w:r>
      <w:r w:rsidR="008D2632" w:rsidRPr="00ED3615">
        <w:rPr>
          <w:rFonts w:ascii="Candara" w:hAnsi="Candara"/>
          <w:noProof/>
          <w:color w:val="0000FF"/>
          <w:lang w:eastAsia="en-GB"/>
        </w:rPr>
        <w:t xml:space="preserve"> </w:t>
      </w:r>
    </w:p>
    <w:p w:rsidR="00AD2BB9" w:rsidRPr="00AD2BB9" w:rsidRDefault="00AD2BB9" w:rsidP="00AD2BB9">
      <w:pPr>
        <w:spacing w:after="165" w:line="240" w:lineRule="auto"/>
        <w:rPr>
          <w:rFonts w:eastAsia="Times New Roman" w:cs="Arial"/>
          <w:color w:val="000000" w:themeColor="text1"/>
          <w:sz w:val="24"/>
          <w:szCs w:val="24"/>
          <w:lang w:eastAsia="en-GB"/>
        </w:rPr>
      </w:pPr>
      <w:r w:rsidRPr="00AD2BB9">
        <w:rPr>
          <w:rFonts w:eastAsia="Times New Roman" w:cs="Arial"/>
          <w:color w:val="000000" w:themeColor="text1"/>
          <w:sz w:val="24"/>
          <w:szCs w:val="24"/>
          <w:lang w:eastAsia="en-GB"/>
        </w:rPr>
        <w:t xml:space="preserve">There are nine characteristics protected under the </w:t>
      </w:r>
      <w:hyperlink r:id="rId5" w:history="1">
        <w:r w:rsidRPr="00AD2BB9">
          <w:rPr>
            <w:rFonts w:eastAsia="Times New Roman" w:cs="Arial"/>
            <w:color w:val="000000" w:themeColor="text1"/>
            <w:sz w:val="24"/>
            <w:szCs w:val="24"/>
            <w:lang w:eastAsia="en-GB"/>
          </w:rPr>
          <w:t>Equality Act 2010</w:t>
        </w:r>
      </w:hyperlink>
      <w:r w:rsidRPr="00AD2BB9">
        <w:rPr>
          <w:rFonts w:eastAsia="Times New Roman" w:cs="Arial"/>
          <w:color w:val="000000" w:themeColor="text1"/>
          <w:sz w:val="24"/>
          <w:szCs w:val="24"/>
          <w:lang w:eastAsia="en-GB"/>
        </w:rPr>
        <w:t>. They are:</w:t>
      </w:r>
    </w:p>
    <w:p w:rsidR="00AD2BB9" w:rsidRPr="00AD2BB9" w:rsidRDefault="008D2632" w:rsidP="00AD2BB9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eastAsia="Times New Roman" w:cs="Arial"/>
          <w:color w:val="000000" w:themeColor="text1"/>
          <w:sz w:val="24"/>
          <w:szCs w:val="24"/>
          <w:lang w:eastAsia="en-GB"/>
        </w:rPr>
      </w:pPr>
      <w:r>
        <w:rPr>
          <w:noProof/>
          <w:color w:val="0000FF"/>
          <w:lang w:eastAsia="en-GB"/>
        </w:rPr>
        <w:drawing>
          <wp:anchor distT="0" distB="0" distL="114300" distR="114300" simplePos="0" relativeHeight="251658240" behindDoc="1" locked="0" layoutInCell="1" allowOverlap="1" wp14:anchorId="5C8B38E2" wp14:editId="64122299">
            <wp:simplePos x="0" y="0"/>
            <wp:positionH relativeFrom="margin">
              <wp:posOffset>2654935</wp:posOffset>
            </wp:positionH>
            <wp:positionV relativeFrom="paragraph">
              <wp:posOffset>216535</wp:posOffset>
            </wp:positionV>
            <wp:extent cx="3249930" cy="1485900"/>
            <wp:effectExtent l="0" t="0" r="7620" b="0"/>
            <wp:wrapTight wrapText="bothSides">
              <wp:wrapPolygon edited="0">
                <wp:start x="0" y="0"/>
                <wp:lineTo x="0" y="21323"/>
                <wp:lineTo x="21524" y="21323"/>
                <wp:lineTo x="21524" y="0"/>
                <wp:lineTo x="0" y="0"/>
              </wp:wrapPolygon>
            </wp:wrapTight>
            <wp:docPr id="1" name="irc_mi" descr="Image result for protected characteristics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protected characteristics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93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8" w:anchor="age" w:history="1">
        <w:r w:rsidR="00AD2BB9" w:rsidRPr="00AD2BB9">
          <w:rPr>
            <w:rFonts w:eastAsia="Times New Roman" w:cs="Arial"/>
            <w:color w:val="000000" w:themeColor="text1"/>
            <w:sz w:val="24"/>
            <w:szCs w:val="24"/>
            <w:lang w:eastAsia="en-GB"/>
          </w:rPr>
          <w:t>age</w:t>
        </w:r>
      </w:hyperlink>
    </w:p>
    <w:p w:rsidR="00AD2BB9" w:rsidRPr="00AD2BB9" w:rsidRDefault="00AD2BB9" w:rsidP="00AD2BB9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eastAsia="Times New Roman" w:cs="Arial"/>
          <w:color w:val="000000" w:themeColor="text1"/>
          <w:sz w:val="24"/>
          <w:szCs w:val="24"/>
          <w:lang w:eastAsia="en-GB"/>
        </w:rPr>
      </w:pPr>
      <w:hyperlink r:id="rId9" w:anchor="disability" w:history="1">
        <w:r w:rsidRPr="00AD2BB9">
          <w:rPr>
            <w:rFonts w:eastAsia="Times New Roman" w:cs="Arial"/>
            <w:color w:val="000000" w:themeColor="text1"/>
            <w:sz w:val="24"/>
            <w:szCs w:val="24"/>
            <w:lang w:eastAsia="en-GB"/>
          </w:rPr>
          <w:t>disability</w:t>
        </w:r>
      </w:hyperlink>
    </w:p>
    <w:p w:rsidR="00AD2BB9" w:rsidRPr="00AD2BB9" w:rsidRDefault="00AD2BB9" w:rsidP="00AD2BB9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eastAsia="Times New Roman" w:cs="Arial"/>
          <w:color w:val="000000" w:themeColor="text1"/>
          <w:sz w:val="24"/>
          <w:szCs w:val="24"/>
          <w:lang w:eastAsia="en-GB"/>
        </w:rPr>
      </w:pPr>
      <w:hyperlink r:id="rId10" w:anchor="reassignment" w:history="1">
        <w:r w:rsidRPr="00AD2BB9">
          <w:rPr>
            <w:rFonts w:eastAsia="Times New Roman" w:cs="Arial"/>
            <w:color w:val="000000" w:themeColor="text1"/>
            <w:sz w:val="24"/>
            <w:szCs w:val="24"/>
            <w:lang w:eastAsia="en-GB"/>
          </w:rPr>
          <w:t>gender reassignment</w:t>
        </w:r>
      </w:hyperlink>
    </w:p>
    <w:p w:rsidR="00AD2BB9" w:rsidRPr="00AD2BB9" w:rsidRDefault="00AD2BB9" w:rsidP="00AD2BB9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eastAsia="Times New Roman" w:cs="Arial"/>
          <w:color w:val="000000" w:themeColor="text1"/>
          <w:sz w:val="24"/>
          <w:szCs w:val="24"/>
          <w:lang w:eastAsia="en-GB"/>
        </w:rPr>
      </w:pPr>
      <w:hyperlink r:id="rId11" w:anchor="marriage" w:history="1">
        <w:r w:rsidRPr="00AD2BB9">
          <w:rPr>
            <w:rFonts w:eastAsia="Times New Roman" w:cs="Arial"/>
            <w:color w:val="000000" w:themeColor="text1"/>
            <w:sz w:val="24"/>
            <w:szCs w:val="24"/>
            <w:lang w:eastAsia="en-GB"/>
          </w:rPr>
          <w:t>marriage and civil partnership</w:t>
        </w:r>
      </w:hyperlink>
    </w:p>
    <w:p w:rsidR="00AD2BB9" w:rsidRPr="00AD2BB9" w:rsidRDefault="00AD2BB9" w:rsidP="00AD2BB9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eastAsia="Times New Roman" w:cs="Arial"/>
          <w:color w:val="000000" w:themeColor="text1"/>
          <w:sz w:val="24"/>
          <w:szCs w:val="24"/>
          <w:lang w:eastAsia="en-GB"/>
        </w:rPr>
      </w:pPr>
      <w:hyperlink r:id="rId12" w:anchor="pregmat" w:history="1">
        <w:r w:rsidRPr="00AD2BB9">
          <w:rPr>
            <w:rFonts w:eastAsia="Times New Roman" w:cs="Arial"/>
            <w:color w:val="000000" w:themeColor="text1"/>
            <w:sz w:val="24"/>
            <w:szCs w:val="24"/>
            <w:lang w:eastAsia="en-GB"/>
          </w:rPr>
          <w:t>pregnancy and maternity</w:t>
        </w:r>
      </w:hyperlink>
    </w:p>
    <w:p w:rsidR="00AD2BB9" w:rsidRPr="00AD2BB9" w:rsidRDefault="00AD2BB9" w:rsidP="00AD2BB9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eastAsia="Times New Roman" w:cs="Arial"/>
          <w:color w:val="000000" w:themeColor="text1"/>
          <w:sz w:val="24"/>
          <w:szCs w:val="24"/>
          <w:lang w:eastAsia="en-GB"/>
        </w:rPr>
      </w:pPr>
      <w:hyperlink r:id="rId13" w:anchor="race" w:history="1">
        <w:r w:rsidRPr="00AD2BB9">
          <w:rPr>
            <w:rFonts w:eastAsia="Times New Roman" w:cs="Arial"/>
            <w:color w:val="000000" w:themeColor="text1"/>
            <w:sz w:val="24"/>
            <w:szCs w:val="24"/>
            <w:lang w:eastAsia="en-GB"/>
          </w:rPr>
          <w:t>race</w:t>
        </w:r>
      </w:hyperlink>
    </w:p>
    <w:p w:rsidR="00AD2BB9" w:rsidRPr="00AD2BB9" w:rsidRDefault="00AD2BB9" w:rsidP="00AD2BB9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eastAsia="Times New Roman" w:cs="Arial"/>
          <w:color w:val="000000" w:themeColor="text1"/>
          <w:sz w:val="24"/>
          <w:szCs w:val="24"/>
          <w:lang w:eastAsia="en-GB"/>
        </w:rPr>
      </w:pPr>
      <w:hyperlink r:id="rId14" w:anchor="rob" w:history="1">
        <w:r w:rsidRPr="00AD2BB9">
          <w:rPr>
            <w:rFonts w:eastAsia="Times New Roman" w:cs="Arial"/>
            <w:color w:val="000000" w:themeColor="text1"/>
            <w:sz w:val="24"/>
            <w:szCs w:val="24"/>
            <w:lang w:eastAsia="en-GB"/>
          </w:rPr>
          <w:t>religion or belief</w:t>
        </w:r>
      </w:hyperlink>
    </w:p>
    <w:p w:rsidR="00AD2BB9" w:rsidRPr="00AD2BB9" w:rsidRDefault="00AD2BB9" w:rsidP="00AD2BB9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eastAsia="Times New Roman" w:cs="Arial"/>
          <w:color w:val="000000" w:themeColor="text1"/>
          <w:sz w:val="24"/>
          <w:szCs w:val="24"/>
          <w:lang w:eastAsia="en-GB"/>
        </w:rPr>
      </w:pPr>
      <w:hyperlink r:id="rId15" w:anchor="sex" w:history="1">
        <w:r w:rsidRPr="00AD2BB9">
          <w:rPr>
            <w:rFonts w:eastAsia="Times New Roman" w:cs="Arial"/>
            <w:color w:val="000000" w:themeColor="text1"/>
            <w:sz w:val="24"/>
            <w:szCs w:val="24"/>
            <w:lang w:eastAsia="en-GB"/>
          </w:rPr>
          <w:t>sex</w:t>
        </w:r>
      </w:hyperlink>
    </w:p>
    <w:p w:rsidR="00AD2BB9" w:rsidRPr="00AD2BB9" w:rsidRDefault="00AD2BB9" w:rsidP="00AD2BB9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eastAsia="Times New Roman" w:cs="Arial"/>
          <w:color w:val="000000" w:themeColor="text1"/>
          <w:sz w:val="24"/>
          <w:szCs w:val="24"/>
          <w:lang w:eastAsia="en-GB"/>
        </w:rPr>
      </w:pPr>
      <w:hyperlink r:id="rId16" w:anchor="lgb" w:history="1">
        <w:r w:rsidRPr="00AD2BB9">
          <w:rPr>
            <w:rFonts w:eastAsia="Times New Roman" w:cs="Arial"/>
            <w:color w:val="000000" w:themeColor="text1"/>
            <w:sz w:val="24"/>
            <w:szCs w:val="24"/>
            <w:lang w:eastAsia="en-GB"/>
          </w:rPr>
          <w:t>sexual orientation</w:t>
        </w:r>
      </w:hyperlink>
    </w:p>
    <w:p w:rsidR="00AD2BB9" w:rsidRPr="00AD2BB9" w:rsidRDefault="00AD2BB9" w:rsidP="00AD2BB9">
      <w:pPr>
        <w:spacing w:before="330" w:after="165" w:line="240" w:lineRule="auto"/>
        <w:outlineLvl w:val="1"/>
        <w:rPr>
          <w:rFonts w:ascii="Candara" w:eastAsia="Times New Roman" w:hAnsi="Candara" w:cs="Arial"/>
          <w:color w:val="000000" w:themeColor="text1"/>
          <w:sz w:val="39"/>
          <w:szCs w:val="39"/>
          <w:lang w:eastAsia="en-GB"/>
        </w:rPr>
      </w:pPr>
      <w:r w:rsidRPr="00AD2BB9">
        <w:rPr>
          <w:rFonts w:ascii="Candara" w:eastAsia="Times New Roman" w:hAnsi="Candara" w:cs="Arial"/>
          <w:color w:val="000000" w:themeColor="text1"/>
          <w:sz w:val="39"/>
          <w:szCs w:val="39"/>
          <w:lang w:eastAsia="en-GB"/>
        </w:rPr>
        <w:t>Age</w:t>
      </w:r>
    </w:p>
    <w:p w:rsidR="00AD2BB9" w:rsidRPr="00AD2BB9" w:rsidRDefault="00AD2BB9" w:rsidP="00AD2BB9">
      <w:pPr>
        <w:spacing w:after="165" w:line="240" w:lineRule="auto"/>
        <w:rPr>
          <w:rFonts w:eastAsia="Times New Roman" w:cs="Arial"/>
          <w:color w:val="000000" w:themeColor="text1"/>
          <w:sz w:val="24"/>
          <w:szCs w:val="24"/>
          <w:lang w:eastAsia="en-GB"/>
        </w:rPr>
      </w:pPr>
      <w:r w:rsidRPr="00AD2BB9">
        <w:rPr>
          <w:rFonts w:eastAsia="Times New Roman" w:cs="Arial"/>
          <w:color w:val="000000" w:themeColor="text1"/>
          <w:sz w:val="24"/>
          <w:szCs w:val="24"/>
          <w:lang w:eastAsia="en-GB"/>
        </w:rPr>
        <w:t>A person belonging to a particular age (for example 32 year olds) or range of ages (for example 18 to 30 year olds).</w:t>
      </w:r>
    </w:p>
    <w:p w:rsidR="00AD2BB9" w:rsidRPr="00AD2BB9" w:rsidRDefault="00AD2BB9" w:rsidP="00AD2BB9">
      <w:pPr>
        <w:spacing w:before="330" w:after="165" w:line="240" w:lineRule="auto"/>
        <w:outlineLvl w:val="1"/>
        <w:rPr>
          <w:rFonts w:ascii="Candara" w:eastAsia="Times New Roman" w:hAnsi="Candara" w:cs="Arial"/>
          <w:color w:val="000000" w:themeColor="text1"/>
          <w:sz w:val="39"/>
          <w:szCs w:val="39"/>
          <w:lang w:eastAsia="en-GB"/>
        </w:rPr>
      </w:pPr>
      <w:r w:rsidRPr="00AD2BB9">
        <w:rPr>
          <w:rFonts w:ascii="Candara" w:eastAsia="Times New Roman" w:hAnsi="Candara" w:cs="Arial"/>
          <w:color w:val="000000" w:themeColor="text1"/>
          <w:sz w:val="39"/>
          <w:szCs w:val="39"/>
          <w:lang w:eastAsia="en-GB"/>
        </w:rPr>
        <w:t>Disability</w:t>
      </w:r>
    </w:p>
    <w:p w:rsidR="00AD2BB9" w:rsidRPr="00AD2BB9" w:rsidRDefault="00AD2BB9" w:rsidP="00AD2BB9">
      <w:pPr>
        <w:spacing w:after="165" w:line="240" w:lineRule="auto"/>
        <w:rPr>
          <w:rFonts w:eastAsia="Times New Roman" w:cs="Arial"/>
          <w:color w:val="000000" w:themeColor="text1"/>
          <w:sz w:val="24"/>
          <w:szCs w:val="24"/>
          <w:lang w:eastAsia="en-GB"/>
        </w:rPr>
      </w:pPr>
      <w:r w:rsidRPr="00AD2BB9">
        <w:rPr>
          <w:rFonts w:eastAsia="Times New Roman" w:cs="Arial"/>
          <w:color w:val="000000" w:themeColor="text1"/>
          <w:sz w:val="24"/>
          <w:szCs w:val="24"/>
          <w:lang w:eastAsia="en-GB"/>
        </w:rPr>
        <w:t>A person has a disability if she or he has a physical or mental impairment which has a substantial and long-term adverse effect on that person's ability to carry out normal day-to-day activities.</w:t>
      </w:r>
    </w:p>
    <w:p w:rsidR="00AD2BB9" w:rsidRPr="00AD2BB9" w:rsidRDefault="00AD2BB9" w:rsidP="00AD2BB9">
      <w:pPr>
        <w:spacing w:before="330" w:after="165" w:line="240" w:lineRule="auto"/>
        <w:outlineLvl w:val="1"/>
        <w:rPr>
          <w:rFonts w:ascii="Candara" w:eastAsia="Times New Roman" w:hAnsi="Candara" w:cs="Arial"/>
          <w:color w:val="000000" w:themeColor="text1"/>
          <w:sz w:val="39"/>
          <w:szCs w:val="39"/>
          <w:lang w:eastAsia="en-GB"/>
        </w:rPr>
      </w:pPr>
      <w:r w:rsidRPr="00AD2BB9">
        <w:rPr>
          <w:rFonts w:ascii="Candara" w:eastAsia="Times New Roman" w:hAnsi="Candara" w:cs="Arial"/>
          <w:color w:val="000000" w:themeColor="text1"/>
          <w:sz w:val="39"/>
          <w:szCs w:val="39"/>
          <w:lang w:eastAsia="en-GB"/>
        </w:rPr>
        <w:t>Gender reassignment</w:t>
      </w:r>
    </w:p>
    <w:p w:rsidR="00F64723" w:rsidRPr="00F64723" w:rsidRDefault="00AD2BB9" w:rsidP="00F64723">
      <w:pPr>
        <w:spacing w:after="165" w:line="240" w:lineRule="auto"/>
        <w:rPr>
          <w:rFonts w:eastAsia="Times New Roman" w:cs="Arial"/>
          <w:color w:val="000000" w:themeColor="text1"/>
          <w:sz w:val="24"/>
          <w:szCs w:val="24"/>
          <w:lang w:eastAsia="en-GB"/>
        </w:rPr>
      </w:pPr>
      <w:r w:rsidRPr="00AD2BB9">
        <w:rPr>
          <w:rFonts w:eastAsia="Times New Roman" w:cs="Arial"/>
          <w:color w:val="000000" w:themeColor="text1"/>
          <w:sz w:val="24"/>
          <w:szCs w:val="24"/>
          <w:lang w:eastAsia="en-GB"/>
        </w:rPr>
        <w:t>The process of transitioning from one gender to another.</w:t>
      </w:r>
    </w:p>
    <w:p w:rsidR="00AD2BB9" w:rsidRPr="00AD2BB9" w:rsidRDefault="00AD2BB9" w:rsidP="00F64723">
      <w:pPr>
        <w:spacing w:after="165" w:line="240" w:lineRule="auto"/>
        <w:rPr>
          <w:rFonts w:ascii="Candara" w:eastAsia="Times New Roman" w:hAnsi="Candara" w:cs="Arial"/>
          <w:color w:val="000000" w:themeColor="text1"/>
          <w:sz w:val="24"/>
          <w:szCs w:val="24"/>
          <w:lang w:eastAsia="en-GB"/>
        </w:rPr>
      </w:pPr>
      <w:r w:rsidRPr="00AD2BB9">
        <w:rPr>
          <w:rFonts w:ascii="Candara" w:eastAsia="Times New Roman" w:hAnsi="Candara" w:cs="Arial"/>
          <w:color w:val="000000" w:themeColor="text1"/>
          <w:sz w:val="39"/>
          <w:szCs w:val="39"/>
          <w:lang w:eastAsia="en-GB"/>
        </w:rPr>
        <w:t>Marriage and civil partnership</w:t>
      </w:r>
    </w:p>
    <w:p w:rsidR="00AD2BB9" w:rsidRPr="00AD2BB9" w:rsidRDefault="00AD2BB9" w:rsidP="00AD2BB9">
      <w:pPr>
        <w:spacing w:after="165" w:line="240" w:lineRule="auto"/>
        <w:rPr>
          <w:rFonts w:eastAsia="Times New Roman" w:cs="Arial"/>
          <w:color w:val="000000" w:themeColor="text1"/>
          <w:sz w:val="24"/>
          <w:szCs w:val="24"/>
          <w:lang w:eastAsia="en-GB"/>
        </w:rPr>
      </w:pPr>
      <w:r w:rsidRPr="00AD2BB9">
        <w:rPr>
          <w:rFonts w:eastAsia="Times New Roman" w:cs="Arial"/>
          <w:color w:val="000000" w:themeColor="text1"/>
          <w:sz w:val="24"/>
          <w:szCs w:val="24"/>
          <w:lang w:eastAsia="en-GB"/>
        </w:rPr>
        <w:t>Marriage is a union between a man and a woman or between a same-sex couple.</w:t>
      </w:r>
    </w:p>
    <w:p w:rsidR="00AD2BB9" w:rsidRPr="00AD2BB9" w:rsidRDefault="00AD2BB9" w:rsidP="00AD2BB9">
      <w:pPr>
        <w:spacing w:after="165" w:line="240" w:lineRule="auto"/>
        <w:rPr>
          <w:rFonts w:eastAsia="Times New Roman" w:cs="Arial"/>
          <w:color w:val="000000" w:themeColor="text1"/>
          <w:sz w:val="24"/>
          <w:szCs w:val="24"/>
          <w:lang w:eastAsia="en-GB"/>
        </w:rPr>
      </w:pPr>
      <w:r w:rsidRPr="00AD2BB9">
        <w:rPr>
          <w:rFonts w:eastAsia="Times New Roman" w:cs="Arial"/>
          <w:color w:val="000000" w:themeColor="text1"/>
          <w:sz w:val="24"/>
          <w:szCs w:val="24"/>
          <w:lang w:eastAsia="en-GB"/>
        </w:rPr>
        <w:t>Same-sex couples can also have their relationships legally recognised as 'civil partnerships'. Civil partners must not be treated less favourably than married couples (except where permitted by the Equality Act).</w:t>
      </w:r>
    </w:p>
    <w:p w:rsidR="00AD2BB9" w:rsidRPr="00AD2BB9" w:rsidRDefault="00AD2BB9" w:rsidP="00AD2BB9">
      <w:pPr>
        <w:spacing w:before="330" w:after="165" w:line="240" w:lineRule="auto"/>
        <w:outlineLvl w:val="1"/>
        <w:rPr>
          <w:rFonts w:ascii="Candara" w:eastAsia="Times New Roman" w:hAnsi="Candara" w:cs="Arial"/>
          <w:color w:val="000000" w:themeColor="text1"/>
          <w:sz w:val="39"/>
          <w:szCs w:val="39"/>
          <w:lang w:eastAsia="en-GB"/>
        </w:rPr>
      </w:pPr>
      <w:r w:rsidRPr="00AD2BB9">
        <w:rPr>
          <w:rFonts w:ascii="Candara" w:eastAsia="Times New Roman" w:hAnsi="Candara" w:cs="Arial"/>
          <w:color w:val="000000" w:themeColor="text1"/>
          <w:sz w:val="39"/>
          <w:szCs w:val="39"/>
          <w:lang w:eastAsia="en-GB"/>
        </w:rPr>
        <w:t>Pregnancy and maternity</w:t>
      </w:r>
    </w:p>
    <w:p w:rsidR="00AD2BB9" w:rsidRPr="00AD2BB9" w:rsidRDefault="00AD2BB9" w:rsidP="00AD2BB9">
      <w:pPr>
        <w:spacing w:after="165" w:line="240" w:lineRule="auto"/>
        <w:rPr>
          <w:rFonts w:eastAsia="Times New Roman" w:cs="Arial"/>
          <w:color w:val="000000" w:themeColor="text1"/>
          <w:sz w:val="24"/>
          <w:szCs w:val="24"/>
          <w:lang w:eastAsia="en-GB"/>
        </w:rPr>
      </w:pPr>
      <w:r w:rsidRPr="00AD2BB9">
        <w:rPr>
          <w:rFonts w:eastAsia="Times New Roman" w:cs="Arial"/>
          <w:color w:val="000000" w:themeColor="text1"/>
          <w:sz w:val="24"/>
          <w:szCs w:val="24"/>
          <w:lang w:eastAsia="en-GB"/>
        </w:rPr>
        <w:t>Pregnancy is the condition of being pregnant or expecting a baby. Maternity refers to the period after the birth, and is linked to maternity leave in the employment context. In the non-work context, protection against maternity discrimination is for 26 weeks after giving birth, and this includes treating a woman unfavourably because she is breastfeeding.</w:t>
      </w:r>
    </w:p>
    <w:p w:rsidR="00312C70" w:rsidRDefault="00312C70" w:rsidP="00AD2BB9">
      <w:pPr>
        <w:spacing w:before="330" w:after="165" w:line="240" w:lineRule="auto"/>
        <w:outlineLvl w:val="1"/>
        <w:rPr>
          <w:rFonts w:eastAsia="Times New Roman" w:cs="Arial"/>
          <w:color w:val="000000" w:themeColor="text1"/>
          <w:sz w:val="24"/>
          <w:szCs w:val="24"/>
          <w:lang w:eastAsia="en-GB"/>
        </w:rPr>
      </w:pPr>
    </w:p>
    <w:p w:rsidR="00AD2BB9" w:rsidRPr="00AD2BB9" w:rsidRDefault="00AD2BB9" w:rsidP="00AD2BB9">
      <w:pPr>
        <w:spacing w:before="330" w:after="165" w:line="240" w:lineRule="auto"/>
        <w:outlineLvl w:val="1"/>
        <w:rPr>
          <w:rFonts w:ascii="Candara" w:eastAsia="Times New Roman" w:hAnsi="Candara" w:cs="Arial"/>
          <w:color w:val="000000" w:themeColor="text1"/>
          <w:sz w:val="39"/>
          <w:szCs w:val="39"/>
          <w:lang w:eastAsia="en-GB"/>
        </w:rPr>
      </w:pPr>
      <w:r w:rsidRPr="00AD2BB9">
        <w:rPr>
          <w:rFonts w:ascii="Candara" w:eastAsia="Times New Roman" w:hAnsi="Candara" w:cs="Arial"/>
          <w:color w:val="000000" w:themeColor="text1"/>
          <w:sz w:val="39"/>
          <w:szCs w:val="39"/>
          <w:lang w:eastAsia="en-GB"/>
        </w:rPr>
        <w:lastRenderedPageBreak/>
        <w:t>Race</w:t>
      </w:r>
    </w:p>
    <w:p w:rsidR="00AD2BB9" w:rsidRPr="00AD2BB9" w:rsidRDefault="00AD2BB9" w:rsidP="00AD2BB9">
      <w:pPr>
        <w:spacing w:after="165" w:line="240" w:lineRule="auto"/>
        <w:rPr>
          <w:rFonts w:eastAsia="Times New Roman" w:cs="Arial"/>
          <w:color w:val="000000" w:themeColor="text1"/>
          <w:sz w:val="24"/>
          <w:szCs w:val="24"/>
          <w:lang w:eastAsia="en-GB"/>
        </w:rPr>
      </w:pPr>
      <w:r w:rsidRPr="00AD2BB9">
        <w:rPr>
          <w:rFonts w:eastAsia="Times New Roman" w:cs="Arial"/>
          <w:color w:val="000000" w:themeColor="text1"/>
          <w:sz w:val="24"/>
          <w:szCs w:val="24"/>
          <w:lang w:eastAsia="en-GB"/>
        </w:rPr>
        <w:t>Refers to the protected characteristic of race. It refers to a group of people defined by their race, colour, and nationality (including citizenship) ethnic or national origins.</w:t>
      </w:r>
    </w:p>
    <w:p w:rsidR="00AD2BB9" w:rsidRPr="00AD2BB9" w:rsidRDefault="00AD2BB9" w:rsidP="00AD2BB9">
      <w:pPr>
        <w:spacing w:before="330" w:after="165" w:line="240" w:lineRule="auto"/>
        <w:outlineLvl w:val="1"/>
        <w:rPr>
          <w:rFonts w:ascii="Candara" w:eastAsia="Times New Roman" w:hAnsi="Candara" w:cs="Arial"/>
          <w:color w:val="000000" w:themeColor="text1"/>
          <w:sz w:val="39"/>
          <w:szCs w:val="39"/>
          <w:lang w:eastAsia="en-GB"/>
        </w:rPr>
      </w:pPr>
      <w:r w:rsidRPr="00AD2BB9">
        <w:rPr>
          <w:rFonts w:ascii="Candara" w:eastAsia="Times New Roman" w:hAnsi="Candara" w:cs="Arial"/>
          <w:color w:val="000000" w:themeColor="text1"/>
          <w:sz w:val="39"/>
          <w:szCs w:val="39"/>
          <w:lang w:eastAsia="en-GB"/>
        </w:rPr>
        <w:t>Religion and belief</w:t>
      </w:r>
    </w:p>
    <w:p w:rsidR="00AD2BB9" w:rsidRPr="00AD2BB9" w:rsidRDefault="00AD2BB9" w:rsidP="00AD2BB9">
      <w:pPr>
        <w:spacing w:after="165" w:line="240" w:lineRule="auto"/>
        <w:rPr>
          <w:rFonts w:eastAsia="Times New Roman" w:cs="Arial"/>
          <w:color w:val="000000" w:themeColor="text1"/>
          <w:sz w:val="24"/>
          <w:szCs w:val="24"/>
          <w:lang w:eastAsia="en-GB"/>
        </w:rPr>
      </w:pPr>
      <w:r w:rsidRPr="00AD2BB9">
        <w:rPr>
          <w:rFonts w:eastAsia="Times New Roman" w:cs="Arial"/>
          <w:color w:val="000000" w:themeColor="text1"/>
          <w:sz w:val="24"/>
          <w:szCs w:val="24"/>
          <w:lang w:eastAsia="en-GB"/>
        </w:rPr>
        <w:t>Religion has the meaning usually given to it but belief includes religious and philosophical beliefs including lack of belief (such as Atheism). Generally, a belief should affect your life choices or the way you live for it to be included in the definition.</w:t>
      </w:r>
    </w:p>
    <w:p w:rsidR="00AD2BB9" w:rsidRPr="00AD2BB9" w:rsidRDefault="00AD2BB9" w:rsidP="00AD2BB9">
      <w:pPr>
        <w:spacing w:before="330" w:after="165" w:line="240" w:lineRule="auto"/>
        <w:outlineLvl w:val="1"/>
        <w:rPr>
          <w:rFonts w:ascii="Candara" w:eastAsia="Times New Roman" w:hAnsi="Candara" w:cs="Arial"/>
          <w:color w:val="000000" w:themeColor="text1"/>
          <w:sz w:val="39"/>
          <w:szCs w:val="39"/>
          <w:lang w:eastAsia="en-GB"/>
        </w:rPr>
      </w:pPr>
      <w:r w:rsidRPr="00AD2BB9">
        <w:rPr>
          <w:rFonts w:ascii="Candara" w:eastAsia="Times New Roman" w:hAnsi="Candara" w:cs="Arial"/>
          <w:color w:val="000000" w:themeColor="text1"/>
          <w:sz w:val="39"/>
          <w:szCs w:val="39"/>
          <w:lang w:eastAsia="en-GB"/>
        </w:rPr>
        <w:t>Sex</w:t>
      </w:r>
    </w:p>
    <w:p w:rsidR="00AD2BB9" w:rsidRPr="00AD2BB9" w:rsidRDefault="00AD2BB9" w:rsidP="00AD2BB9">
      <w:pPr>
        <w:spacing w:after="165" w:line="240" w:lineRule="auto"/>
        <w:rPr>
          <w:rFonts w:eastAsia="Times New Roman" w:cs="Arial"/>
          <w:color w:val="000000" w:themeColor="text1"/>
          <w:sz w:val="24"/>
          <w:szCs w:val="24"/>
          <w:lang w:eastAsia="en-GB"/>
        </w:rPr>
      </w:pPr>
      <w:r w:rsidRPr="00AD2BB9">
        <w:rPr>
          <w:rFonts w:eastAsia="Times New Roman" w:cs="Arial"/>
          <w:color w:val="000000" w:themeColor="text1"/>
          <w:sz w:val="24"/>
          <w:szCs w:val="24"/>
          <w:lang w:eastAsia="en-GB"/>
        </w:rPr>
        <w:t>A man or a woman.</w:t>
      </w:r>
    </w:p>
    <w:p w:rsidR="00AD2BB9" w:rsidRPr="00AD2BB9" w:rsidRDefault="00AD2BB9" w:rsidP="00AD2BB9">
      <w:pPr>
        <w:spacing w:before="330" w:after="165" w:line="240" w:lineRule="auto"/>
        <w:outlineLvl w:val="1"/>
        <w:rPr>
          <w:rFonts w:ascii="Candara" w:eastAsia="Times New Roman" w:hAnsi="Candara" w:cs="Arial"/>
          <w:color w:val="000000" w:themeColor="text1"/>
          <w:sz w:val="39"/>
          <w:szCs w:val="39"/>
          <w:lang w:eastAsia="en-GB"/>
        </w:rPr>
      </w:pPr>
      <w:r w:rsidRPr="00AD2BB9">
        <w:rPr>
          <w:rFonts w:ascii="Candara" w:eastAsia="Times New Roman" w:hAnsi="Candara" w:cs="Arial"/>
          <w:color w:val="000000" w:themeColor="text1"/>
          <w:sz w:val="39"/>
          <w:szCs w:val="39"/>
          <w:lang w:eastAsia="en-GB"/>
        </w:rPr>
        <w:t>Sexual orientation</w:t>
      </w:r>
    </w:p>
    <w:p w:rsidR="00AD2BB9" w:rsidRPr="00AD2BB9" w:rsidRDefault="00AD2BB9" w:rsidP="00AD2BB9">
      <w:pPr>
        <w:spacing w:after="165" w:line="240" w:lineRule="auto"/>
        <w:rPr>
          <w:rFonts w:eastAsia="Times New Roman" w:cs="Arial"/>
          <w:color w:val="000000" w:themeColor="text1"/>
          <w:sz w:val="24"/>
          <w:szCs w:val="24"/>
          <w:lang w:eastAsia="en-GB"/>
        </w:rPr>
      </w:pPr>
      <w:r w:rsidRPr="00AD2BB9">
        <w:rPr>
          <w:rFonts w:eastAsia="Times New Roman" w:cs="Arial"/>
          <w:color w:val="000000" w:themeColor="text1"/>
          <w:sz w:val="24"/>
          <w:szCs w:val="24"/>
          <w:lang w:eastAsia="en-GB"/>
        </w:rPr>
        <w:t>Whether a person's sexual attraction is towards their own sex, the opposite sex or to both sexes.</w:t>
      </w:r>
    </w:p>
    <w:p w:rsidR="00ED3615" w:rsidRPr="00F64723" w:rsidRDefault="00ED3615">
      <w:pPr>
        <w:rPr>
          <w:color w:val="000000" w:themeColor="text1"/>
        </w:rPr>
      </w:pPr>
      <w:bookmarkStart w:id="0" w:name="_GoBack"/>
      <w:bookmarkEnd w:id="0"/>
    </w:p>
    <w:sectPr w:rsidR="00ED3615" w:rsidRPr="00F647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D131F"/>
    <w:multiLevelType w:val="multilevel"/>
    <w:tmpl w:val="8EC21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BB9"/>
    <w:rsid w:val="00312C70"/>
    <w:rsid w:val="00587E6A"/>
    <w:rsid w:val="00620769"/>
    <w:rsid w:val="008D2632"/>
    <w:rsid w:val="00944300"/>
    <w:rsid w:val="00AD2BB9"/>
    <w:rsid w:val="00ED3615"/>
    <w:rsid w:val="00F64723"/>
    <w:rsid w:val="00FE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4D955"/>
  <w15:chartTrackingRefBased/>
  <w15:docId w15:val="{27399D5E-1321-4CF6-A090-1BE2C8156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7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2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9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90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55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96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63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81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36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42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513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646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36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453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70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089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689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6299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6999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13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97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209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565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6819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9551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4773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7201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153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135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56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808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8098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7931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619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5911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24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429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215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877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7155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41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061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9827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300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160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3294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393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341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684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584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6409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656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31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354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402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7288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6300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198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4789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141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922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096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88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6632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175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279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739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993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85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09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590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6843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689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4827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8699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079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810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601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197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4235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965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436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2994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905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28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3910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164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7617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467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815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qualityhumanrights.com/en/equality-act/protected-characteristics" TargetMode="External"/><Relationship Id="rId13" Type="http://schemas.openxmlformats.org/officeDocument/2006/relationships/hyperlink" Target="https://www.equalityhumanrights.com/en/equality-act/protected-characteristic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equalityhumanrights.com/en/equality-act/protected-characteristic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equalityhumanrights.com/en/equality-act/protected-characteristi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oogle.co.uk/url?sa=i&amp;rct=j&amp;q=&amp;esrc=s&amp;source=images&amp;cd=&amp;cad=rja&amp;uact=8&amp;ved=2ahUKEwjR7qTljNjZAhULDMAKHYkgDbMQjRx6BAgAEAY&amp;url=http://www.allenovery.com/publications/en-gb/Pages/Protected-characteristics-and-the-perception-reality-gap.aspx&amp;psig=AOvVaw16nm18BNLhwXJcLwMGsnKe&amp;ust=1520439524047996" TargetMode="External"/><Relationship Id="rId11" Type="http://schemas.openxmlformats.org/officeDocument/2006/relationships/hyperlink" Target="https://www.equalityhumanrights.com/en/equality-act/protected-characteristics" TargetMode="External"/><Relationship Id="rId5" Type="http://schemas.openxmlformats.org/officeDocument/2006/relationships/hyperlink" Target="https://www.equalityhumanrights.com/en/equality-act/equality-act-2010" TargetMode="External"/><Relationship Id="rId15" Type="http://schemas.openxmlformats.org/officeDocument/2006/relationships/hyperlink" Target="https://www.equalityhumanrights.com/en/equality-act/protected-characteristics" TargetMode="External"/><Relationship Id="rId10" Type="http://schemas.openxmlformats.org/officeDocument/2006/relationships/hyperlink" Target="https://www.equalityhumanrights.com/en/equality-act/protected-characteristi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qualityhumanrights.com/en/equality-act/protected-characteristics" TargetMode="External"/><Relationship Id="rId14" Type="http://schemas.openxmlformats.org/officeDocument/2006/relationships/hyperlink" Target="https://www.equalityhumanrights.com/en/equality-act/protected-characteristi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E00471D6</Template>
  <TotalTime>9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Mungo Foundation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Finnigan</dc:creator>
  <cp:keywords/>
  <dc:description/>
  <cp:lastModifiedBy>Natalie Finnigan</cp:lastModifiedBy>
  <cp:revision>3</cp:revision>
  <cp:lastPrinted>2018-03-06T16:27:00Z</cp:lastPrinted>
  <dcterms:created xsi:type="dcterms:W3CDTF">2018-03-06T16:19:00Z</dcterms:created>
  <dcterms:modified xsi:type="dcterms:W3CDTF">2018-03-06T16:42:00Z</dcterms:modified>
</cp:coreProperties>
</file>